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BE3B1" w14:textId="77777777" w:rsidR="000A4214" w:rsidRDefault="0011139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АНАЛИЗА РАЗВОЈА ПОЉОПРИВРЕДЕ И РУРАЛНОГ РАЗВОЈА </w:t>
      </w:r>
    </w:p>
    <w:p w14:paraId="4C7AF603" w14:textId="77777777" w:rsidR="000A4214" w:rsidRDefault="0011139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ОПШТИНЕ ВРБАС</w:t>
      </w:r>
    </w:p>
    <w:p w14:paraId="243C9C78" w14:textId="77777777" w:rsidR="000A4214" w:rsidRDefault="000A4214"/>
    <w:p w14:paraId="444B7718"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ПОЉОПРИВРЕДНО И ШУМСКО ЗЕМЉИШТЕ</w:t>
      </w:r>
    </w:p>
    <w:p w14:paraId="1E24A2D8"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Пољопривредно земљиште представља најзначајнији природни ресурс којим општина Врбас располаже. Расположиво пољопривредно земљиште покрива 86,6% укупне територије општине, при чему у структури доминира коришћено пољопривредно земљиште са 91,3% (Табела 1).</w:t>
      </w:r>
    </w:p>
    <w:p w14:paraId="7E880B1C" w14:textId="77777777" w:rsidR="000A4214" w:rsidRDefault="00111391">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Табела 1. </w:t>
      </w:r>
      <w:r>
        <w:rPr>
          <w:rFonts w:ascii="Times New Roman" w:eastAsia="Times New Roman" w:hAnsi="Times New Roman" w:cs="Times New Roman"/>
          <w:sz w:val="24"/>
          <w:szCs w:val="24"/>
        </w:rPr>
        <w:t>Расположиво пољопривредно земљиште, 2018.</w:t>
      </w:r>
    </w:p>
    <w:tbl>
      <w:tblPr>
        <w:tblW w:w="9005" w:type="dxa"/>
        <w:jc w:val="center"/>
        <w:tblLayout w:type="fixed"/>
        <w:tblLook w:val="0400" w:firstRow="0" w:lastRow="0" w:firstColumn="0" w:lastColumn="0" w:noHBand="0" w:noVBand="1"/>
      </w:tblPr>
      <w:tblGrid>
        <w:gridCol w:w="1103"/>
        <w:gridCol w:w="1363"/>
        <w:gridCol w:w="849"/>
        <w:gridCol w:w="714"/>
        <w:gridCol w:w="850"/>
        <w:gridCol w:w="566"/>
        <w:gridCol w:w="765"/>
        <w:gridCol w:w="472"/>
        <w:gridCol w:w="796"/>
        <w:gridCol w:w="680"/>
        <w:gridCol w:w="847"/>
      </w:tblGrid>
      <w:tr w:rsidR="000A4214" w14:paraId="11925F59" w14:textId="77777777">
        <w:trPr>
          <w:trHeight w:val="211"/>
          <w:jc w:val="center"/>
        </w:trPr>
        <w:tc>
          <w:tcPr>
            <w:tcW w:w="11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1F3EC9"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p w14:paraId="7DB88A8B"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p w14:paraId="2BA7FB6C"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Јединица локалне самоуправе</w:t>
            </w:r>
          </w:p>
          <w:p w14:paraId="66651AB3"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13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BE3545"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Пољоп. газдинства</w:t>
            </w:r>
          </w:p>
          <w:p w14:paraId="4F0E75A7"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са земљиштем</w:t>
            </w:r>
          </w:p>
          <w:p w14:paraId="78C45C7C"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(број)</w:t>
            </w:r>
          </w:p>
        </w:tc>
        <w:tc>
          <w:tcPr>
            <w:tcW w:w="6539"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201CF291"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Расположиво пољопривредно земљиште (РПЗ)</w:t>
            </w:r>
          </w:p>
        </w:tc>
      </w:tr>
      <w:tr w:rsidR="000A4214" w14:paraId="5727CE35" w14:textId="77777777">
        <w:trPr>
          <w:trHeight w:val="413"/>
          <w:jc w:val="center"/>
        </w:trPr>
        <w:tc>
          <w:tcPr>
            <w:tcW w:w="11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60956D" w14:textId="77777777" w:rsidR="000A4214" w:rsidRDefault="000A4214">
            <w:pPr>
              <w:widowControl w:val="0"/>
              <w:spacing w:after="0"/>
              <w:rPr>
                <w:rFonts w:ascii="Times New Roman" w:eastAsia="Times New Roman" w:hAnsi="Times New Roman" w:cs="Times New Roman"/>
                <w:color w:val="000000"/>
                <w:sz w:val="18"/>
                <w:szCs w:val="18"/>
              </w:rPr>
            </w:pPr>
          </w:p>
        </w:tc>
        <w:tc>
          <w:tcPr>
            <w:tcW w:w="13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14400" w14:textId="77777777" w:rsidR="000A4214" w:rsidRDefault="000A4214">
            <w:pPr>
              <w:widowControl w:val="0"/>
              <w:spacing w:after="0"/>
              <w:rPr>
                <w:rFonts w:ascii="Times New Roman" w:eastAsia="Times New Roman" w:hAnsi="Times New Roman" w:cs="Times New Roman"/>
                <w:color w:val="000000"/>
                <w:sz w:val="18"/>
                <w:szCs w:val="18"/>
              </w:rPr>
            </w:pPr>
          </w:p>
        </w:tc>
        <w:tc>
          <w:tcPr>
            <w:tcW w:w="8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AA7FD4"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Укупно,</w:t>
            </w:r>
          </w:p>
          <w:p w14:paraId="16F6BAF7"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ха</w:t>
            </w:r>
          </w:p>
          <w:p w14:paraId="126F4C22"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w:t>
            </w:r>
          </w:p>
        </w:tc>
        <w:tc>
          <w:tcPr>
            <w:tcW w:w="15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C862E2"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Коришћено пољ. земљиште</w:t>
            </w:r>
          </w:p>
        </w:tc>
        <w:tc>
          <w:tcPr>
            <w:tcW w:w="13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864A38"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Некоришћено </w:t>
            </w:r>
          </w:p>
          <w:p w14:paraId="76DA498A"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пољ. земљ.</w:t>
            </w:r>
          </w:p>
        </w:tc>
        <w:tc>
          <w:tcPr>
            <w:tcW w:w="1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44356F"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Шумско земљиште</w:t>
            </w:r>
          </w:p>
        </w:tc>
        <w:tc>
          <w:tcPr>
            <w:tcW w:w="15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C2B85E"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Остало земљиште</w:t>
            </w:r>
          </w:p>
        </w:tc>
      </w:tr>
      <w:tr w:rsidR="000A4214" w14:paraId="15867EFC" w14:textId="77777777">
        <w:trPr>
          <w:trHeight w:val="277"/>
          <w:jc w:val="center"/>
        </w:trPr>
        <w:tc>
          <w:tcPr>
            <w:tcW w:w="11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E9BD9" w14:textId="77777777" w:rsidR="000A4214" w:rsidRDefault="000A4214">
            <w:pPr>
              <w:widowControl w:val="0"/>
              <w:spacing w:after="0"/>
              <w:rPr>
                <w:rFonts w:ascii="Times New Roman" w:eastAsia="Times New Roman" w:hAnsi="Times New Roman" w:cs="Times New Roman"/>
                <w:color w:val="000000"/>
                <w:sz w:val="18"/>
                <w:szCs w:val="18"/>
              </w:rPr>
            </w:pPr>
          </w:p>
        </w:tc>
        <w:tc>
          <w:tcPr>
            <w:tcW w:w="13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4DB072" w14:textId="77777777" w:rsidR="000A4214" w:rsidRDefault="000A4214">
            <w:pPr>
              <w:widowControl w:val="0"/>
              <w:spacing w:after="0"/>
              <w:rPr>
                <w:rFonts w:ascii="Times New Roman" w:eastAsia="Times New Roman" w:hAnsi="Times New Roman" w:cs="Times New Roman"/>
                <w:color w:val="000000"/>
                <w:sz w:val="18"/>
                <w:szCs w:val="18"/>
              </w:rPr>
            </w:pPr>
          </w:p>
        </w:tc>
        <w:tc>
          <w:tcPr>
            <w:tcW w:w="84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76CC5F" w14:textId="77777777" w:rsidR="000A4214" w:rsidRDefault="000A4214">
            <w:pPr>
              <w:widowControl w:val="0"/>
              <w:spacing w:after="0"/>
              <w:rPr>
                <w:rFonts w:ascii="Times New Roman" w:eastAsia="Times New Roman" w:hAnsi="Times New Roman" w:cs="Times New Roman"/>
                <w:color w:val="000000"/>
                <w:sz w:val="18"/>
                <w:szCs w:val="18"/>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B32E1"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ха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B9776"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РПЗ</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E6CC5"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ха</w:t>
            </w:r>
          </w:p>
        </w:tc>
        <w:tc>
          <w:tcPr>
            <w:tcW w:w="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FB8C8"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РПЗ</w:t>
            </w:r>
          </w:p>
        </w:tc>
        <w:tc>
          <w:tcPr>
            <w:tcW w:w="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083D5"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ха</w:t>
            </w:r>
          </w:p>
        </w:tc>
        <w:tc>
          <w:tcPr>
            <w:tcW w:w="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E5E8A"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РПЗ</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DBE02"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ха</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F1F75" w14:textId="77777777" w:rsidR="000A4214" w:rsidRDefault="00111391">
            <w:pPr>
              <w:widowControl w:val="0"/>
              <w:spacing w:before="60" w:after="6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РПЗ</w:t>
            </w:r>
          </w:p>
        </w:tc>
      </w:tr>
      <w:tr w:rsidR="000A4214" w14:paraId="55A6AB6A" w14:textId="77777777">
        <w:trPr>
          <w:trHeight w:val="315"/>
          <w:jc w:val="center"/>
        </w:trPr>
        <w:tc>
          <w:tcPr>
            <w:tcW w:w="1102"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3C234DB" w14:textId="77777777" w:rsidR="000A4214" w:rsidRDefault="00111391">
            <w:pPr>
              <w:widowControl w:val="0"/>
              <w:spacing w:before="60" w:after="6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Врбас</w:t>
            </w:r>
          </w:p>
        </w:tc>
        <w:tc>
          <w:tcPr>
            <w:tcW w:w="1362"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C728EF3"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2.661</w:t>
            </w:r>
          </w:p>
        </w:tc>
        <w:tc>
          <w:tcPr>
            <w:tcW w:w="849"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1E2CE81"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32.559</w:t>
            </w:r>
          </w:p>
        </w:tc>
        <w:tc>
          <w:tcPr>
            <w:tcW w:w="714"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3518F69E"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29.751</w:t>
            </w:r>
          </w:p>
        </w:tc>
        <w:tc>
          <w:tcPr>
            <w:tcW w:w="85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9B9D761"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91,3</w:t>
            </w:r>
          </w:p>
        </w:tc>
        <w:tc>
          <w:tcPr>
            <w:tcW w:w="566"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09885EC3"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246</w:t>
            </w:r>
          </w:p>
        </w:tc>
        <w:tc>
          <w:tcPr>
            <w:tcW w:w="765"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FA80CFF"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0,8</w:t>
            </w:r>
          </w:p>
        </w:tc>
        <w:tc>
          <w:tcPr>
            <w:tcW w:w="472"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D076847"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796"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0385D3D"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0,0</w:t>
            </w:r>
          </w:p>
        </w:tc>
        <w:tc>
          <w:tcPr>
            <w:tcW w:w="68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D5DA0F0"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2.552</w:t>
            </w:r>
          </w:p>
        </w:tc>
        <w:tc>
          <w:tcPr>
            <w:tcW w:w="847"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7BF3DE5E" w14:textId="77777777" w:rsidR="000A4214" w:rsidRDefault="00111391">
            <w:pPr>
              <w:widowControl w:val="0"/>
              <w:spacing w:before="60" w:after="6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7,8</w:t>
            </w:r>
          </w:p>
        </w:tc>
      </w:tr>
    </w:tbl>
    <w:p w14:paraId="760AF7AB" w14:textId="77777777" w:rsidR="000A4214" w:rsidRDefault="0011139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Извор: </w:t>
      </w:r>
      <w:r>
        <w:rPr>
          <w:rFonts w:ascii="Times New Roman" w:eastAsia="Times New Roman" w:hAnsi="Times New Roman" w:cs="Times New Roman"/>
          <w:i/>
          <w:iCs/>
          <w:sz w:val="20"/>
          <w:szCs w:val="20"/>
        </w:rPr>
        <w:t>Анкета о структури пољопривредних газдинстава</w:t>
      </w:r>
      <w:r>
        <w:rPr>
          <w:rFonts w:ascii="Times New Roman" w:eastAsia="Times New Roman" w:hAnsi="Times New Roman" w:cs="Times New Roman"/>
          <w:sz w:val="20"/>
          <w:szCs w:val="20"/>
        </w:rPr>
        <w:t>, РЗС, 2018.</w:t>
      </w:r>
    </w:p>
    <w:p w14:paraId="1DCC461F" w14:textId="2C8B77E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Подручје целе Јужнобачке области оскудно је шумским површинама. Ниска шумовитост је нарочито изражена на територији општине Врбас, где шуме покривају свега </w:t>
      </w:r>
      <w:r w:rsidR="00844C1F">
        <w:rPr>
          <w:rFonts w:ascii="Times New Roman" w:eastAsia="Times New Roman" w:hAnsi="Times New Roman" w:cs="Times New Roman"/>
          <w:sz w:val="24"/>
          <w:szCs w:val="24"/>
          <w:lang w:val="sr-Cyrl-RS"/>
        </w:rPr>
        <w:t>око 100</w:t>
      </w:r>
      <w:r>
        <w:rPr>
          <w:rFonts w:ascii="Times New Roman" w:eastAsia="Times New Roman" w:hAnsi="Times New Roman" w:cs="Times New Roman"/>
          <w:sz w:val="24"/>
          <w:szCs w:val="24"/>
        </w:rPr>
        <w:t xml:space="preserve"> ха. Услед слабе пошумљености и недовољно развијених ветрозаштитних појасева, земљиште је изложено утицају еолске ерозије.</w:t>
      </w:r>
    </w:p>
    <w:p w14:paraId="40AAD56C" w14:textId="77777777" w:rsidR="000A4214" w:rsidRDefault="00111391">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 Квалитет, обим и структура коршћеног пољопривредног земљишта</w:t>
      </w:r>
    </w:p>
    <w:p w14:paraId="74CA78FB"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Основни тип земљишта на територији општине Врбас је карбонатни чернозем, са својим варијететима. Садржај хумуса креће се од 3–5%, неутралне до слабо алкалне реакције. Садржај хранљивих материја (N, P, К) је у границама оптималног до високог садржаја.</w:t>
      </w:r>
    </w:p>
    <w:p w14:paraId="169032D7"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висок квалитет пољопривредног земљишта уклазује и податак да се чак 74% пољопривредног земљишта налази у првој и другој катастарској класи (Графикон 1).</w:t>
      </w:r>
    </w:p>
    <w:p w14:paraId="34FB2D1C" w14:textId="77777777" w:rsidR="000A4214" w:rsidRDefault="00111391">
      <w:pPr>
        <w:spacing w:before="120" w:after="0" w:line="240" w:lineRule="auto"/>
        <w:jc w:val="both"/>
      </w:pPr>
      <w:r>
        <w:rPr>
          <w:rFonts w:ascii="Times New Roman" w:eastAsia="Times New Roman" w:hAnsi="Times New Roman" w:cs="Times New Roman"/>
          <w:b/>
          <w:sz w:val="24"/>
          <w:szCs w:val="24"/>
        </w:rPr>
        <w:t>Графикон 1</w:t>
      </w:r>
      <w:r>
        <w:rPr>
          <w:rFonts w:ascii="Times New Roman" w:eastAsia="Times New Roman" w:hAnsi="Times New Roman" w:cs="Times New Roman"/>
          <w:sz w:val="24"/>
          <w:szCs w:val="24"/>
        </w:rPr>
        <w:t>. Структура пољопривредног земљишта по класама и културама (%)</w:t>
      </w:r>
    </w:p>
    <w:p w14:paraId="22FE5E32"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 behindDoc="0" locked="0" layoutInCell="0" allowOverlap="1" wp14:anchorId="2EF25D0D" wp14:editId="22E87E69">
            <wp:simplePos x="0" y="0"/>
            <wp:positionH relativeFrom="column">
              <wp:posOffset>0</wp:posOffset>
            </wp:positionH>
            <wp:positionV relativeFrom="paragraph">
              <wp:posOffset>257175</wp:posOffset>
            </wp:positionV>
            <wp:extent cx="3352165" cy="2114550"/>
            <wp:effectExtent l="0" t="0" r="0" b="0"/>
            <wp:wrapTopAndBottom/>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13706189" w14:textId="77777777" w:rsidR="000A4214" w:rsidRDefault="00111391">
      <w:pPr>
        <w:spacing w:before="120"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Извор: </w:t>
      </w:r>
      <w:r>
        <w:rPr>
          <w:rFonts w:ascii="Times New Roman" w:eastAsia="Times New Roman" w:hAnsi="Times New Roman" w:cs="Times New Roman"/>
          <w:sz w:val="20"/>
          <w:szCs w:val="20"/>
        </w:rPr>
        <w:t>Годишњи програм заштите, уређења и коришћења пољопривредног земљишта у државној својини на територији општине Врбас за 2020. годину.</w:t>
      </w:r>
    </w:p>
    <w:p w14:paraId="595A6F2D"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Према подацима </w:t>
      </w:r>
      <w:r>
        <w:rPr>
          <w:rFonts w:ascii="Times New Roman" w:eastAsia="Times New Roman" w:hAnsi="Times New Roman" w:cs="Times New Roman"/>
          <w:i/>
          <w:iCs/>
          <w:sz w:val="24"/>
          <w:szCs w:val="24"/>
        </w:rPr>
        <w:t>Анкете о структури пољопривредних газдинстава</w:t>
      </w:r>
      <w:r>
        <w:rPr>
          <w:rFonts w:ascii="Times New Roman" w:eastAsia="Times New Roman" w:hAnsi="Times New Roman" w:cs="Times New Roman"/>
          <w:sz w:val="24"/>
          <w:szCs w:val="24"/>
        </w:rPr>
        <w:t xml:space="preserve"> из 2018. године, коришћено пољопривредно земљиште на подручју општине Врбас покрива 29.751 ха, </w:t>
      </w:r>
      <w:r>
        <w:rPr>
          <w:rFonts w:ascii="Times New Roman" w:eastAsia="Times New Roman" w:hAnsi="Times New Roman" w:cs="Times New Roman"/>
          <w:sz w:val="24"/>
          <w:szCs w:val="24"/>
        </w:rPr>
        <w:lastRenderedPageBreak/>
        <w:t>што чини 8,9% КПЗ Јужнобачке области. У структури коришћења доминантно су заступљене површине под ораницама и баштама (97,8%), док воћњаци (1,1%), ливаде и пашњаци (0,8%) захватају знатно мању површину КПЗ.</w:t>
      </w:r>
    </w:p>
    <w:p w14:paraId="7D680A34"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Захваљујући улагањима у мере унапређења пољопривредног земљишта, а превасходно у меру претварања необрадивог у обрадиво земљиште, у периоду између 2012–2018. године бележи се повећање укупних површина КПЗ за 2,7%. Највећи раст се бележи код површина под засадима воћа (28,9%) (Табела 2).</w:t>
      </w:r>
    </w:p>
    <w:p w14:paraId="1B5C6C92"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Табела 2</w:t>
      </w:r>
      <w:r>
        <w:rPr>
          <w:rFonts w:ascii="Times New Roman" w:eastAsia="Times New Roman" w:hAnsi="Times New Roman" w:cs="Times New Roman"/>
          <w:sz w:val="24"/>
          <w:szCs w:val="24"/>
        </w:rPr>
        <w:t>. Структура коришћеног пољопривредног земљишта у 2012. и 2018. години</w:t>
      </w:r>
    </w:p>
    <w:tbl>
      <w:tblPr>
        <w:tblW w:w="8871" w:type="dxa"/>
        <w:jc w:val="center"/>
        <w:tblLayout w:type="fixed"/>
        <w:tblLook w:val="0400" w:firstRow="0" w:lastRow="0" w:firstColumn="0" w:lastColumn="0" w:noHBand="0" w:noVBand="1"/>
      </w:tblPr>
      <w:tblGrid>
        <w:gridCol w:w="1101"/>
        <w:gridCol w:w="992"/>
        <w:gridCol w:w="1017"/>
        <w:gridCol w:w="1164"/>
        <w:gridCol w:w="1076"/>
        <w:gridCol w:w="1161"/>
        <w:gridCol w:w="1198"/>
        <w:gridCol w:w="1162"/>
      </w:tblGrid>
      <w:tr w:rsidR="000A4214" w14:paraId="674823B5" w14:textId="77777777">
        <w:trPr>
          <w:trHeight w:val="20"/>
          <w:jc w:val="center"/>
        </w:trPr>
        <w:tc>
          <w:tcPr>
            <w:tcW w:w="1100" w:type="dxa"/>
            <w:vMerge w:val="restart"/>
            <w:tcBorders>
              <w:top w:val="single" w:sz="4" w:space="0" w:color="000000"/>
              <w:left w:val="single" w:sz="4" w:space="0" w:color="000000"/>
              <w:bottom w:val="single" w:sz="4" w:space="0" w:color="000000"/>
              <w:right w:val="single" w:sz="4" w:space="0" w:color="000000"/>
            </w:tcBorders>
            <w:vAlign w:val="center"/>
          </w:tcPr>
          <w:p w14:paraId="43BDE44C" w14:textId="77777777" w:rsidR="000A4214" w:rsidRDefault="00111391">
            <w:pPr>
              <w:widowControl w:val="0"/>
              <w:spacing w:before="60" w:after="60"/>
              <w:rPr>
                <w:rFonts w:ascii="Times New Roman" w:eastAsia="Times New Roman" w:hAnsi="Times New Roman" w:cs="Times New Roman"/>
                <w:b/>
              </w:rPr>
            </w:pPr>
            <w:r>
              <w:rPr>
                <w:rFonts w:ascii="Times New Roman" w:eastAsia="Times New Roman" w:hAnsi="Times New Roman" w:cs="Times New Roman"/>
                <w:b/>
              </w:rPr>
              <w:t xml:space="preserve">Године </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66EC077B"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Број ПГ</w:t>
            </w:r>
          </w:p>
        </w:tc>
        <w:tc>
          <w:tcPr>
            <w:tcW w:w="6778" w:type="dxa"/>
            <w:gridSpan w:val="6"/>
            <w:tcBorders>
              <w:top w:val="single" w:sz="4" w:space="0" w:color="000000"/>
              <w:left w:val="single" w:sz="4" w:space="0" w:color="000000"/>
              <w:bottom w:val="single" w:sz="4" w:space="0" w:color="000000"/>
              <w:right w:val="single" w:sz="4" w:space="0" w:color="000000"/>
            </w:tcBorders>
            <w:vAlign w:val="center"/>
          </w:tcPr>
          <w:p w14:paraId="07E7EBA7"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Коришћено пољопривредно земљиште, ха</w:t>
            </w:r>
          </w:p>
        </w:tc>
      </w:tr>
      <w:tr w:rsidR="000A4214" w14:paraId="58A732C6" w14:textId="77777777">
        <w:trPr>
          <w:trHeight w:val="20"/>
          <w:jc w:val="center"/>
        </w:trPr>
        <w:tc>
          <w:tcPr>
            <w:tcW w:w="1100" w:type="dxa"/>
            <w:vMerge/>
            <w:tcBorders>
              <w:top w:val="single" w:sz="4" w:space="0" w:color="000000"/>
              <w:left w:val="single" w:sz="4" w:space="0" w:color="000000"/>
              <w:bottom w:val="single" w:sz="4" w:space="0" w:color="000000"/>
              <w:right w:val="single" w:sz="4" w:space="0" w:color="000000"/>
            </w:tcBorders>
            <w:vAlign w:val="center"/>
          </w:tcPr>
          <w:p w14:paraId="558EBFE1" w14:textId="77777777" w:rsidR="000A4214" w:rsidRDefault="000A4214">
            <w:pPr>
              <w:widowControl w:val="0"/>
              <w:rPr>
                <w:rFonts w:ascii="Times New Roman" w:eastAsia="Times New Roman" w:hAnsi="Times New Roman" w:cs="Times New Roman"/>
                <w:b/>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6063EE82" w14:textId="77777777" w:rsidR="000A4214" w:rsidRDefault="000A4214">
            <w:pPr>
              <w:widowControl w:val="0"/>
              <w:rPr>
                <w:rFonts w:ascii="Times New Roman" w:eastAsia="Times New Roman" w:hAnsi="Times New Roman" w:cs="Times New Roman"/>
                <w:b/>
              </w:rPr>
            </w:pPr>
          </w:p>
        </w:tc>
        <w:tc>
          <w:tcPr>
            <w:tcW w:w="1017" w:type="dxa"/>
            <w:tcBorders>
              <w:top w:val="single" w:sz="4" w:space="0" w:color="000000"/>
              <w:left w:val="single" w:sz="4" w:space="0" w:color="000000"/>
              <w:bottom w:val="single" w:sz="4" w:space="0" w:color="000000"/>
              <w:right w:val="single" w:sz="4" w:space="0" w:color="000000"/>
            </w:tcBorders>
            <w:vAlign w:val="center"/>
          </w:tcPr>
          <w:p w14:paraId="74C1CDE9"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 xml:space="preserve">Укупно </w:t>
            </w:r>
          </w:p>
        </w:tc>
        <w:tc>
          <w:tcPr>
            <w:tcW w:w="1164" w:type="dxa"/>
            <w:tcBorders>
              <w:top w:val="single" w:sz="4" w:space="0" w:color="000000"/>
              <w:left w:val="single" w:sz="4" w:space="0" w:color="000000"/>
              <w:bottom w:val="single" w:sz="4" w:space="0" w:color="000000"/>
              <w:right w:val="single" w:sz="4" w:space="0" w:color="000000"/>
            </w:tcBorders>
            <w:vAlign w:val="center"/>
          </w:tcPr>
          <w:p w14:paraId="4A0557EF"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Окућница</w:t>
            </w:r>
          </w:p>
        </w:tc>
        <w:tc>
          <w:tcPr>
            <w:tcW w:w="1076" w:type="dxa"/>
            <w:tcBorders>
              <w:top w:val="single" w:sz="4" w:space="0" w:color="000000"/>
              <w:left w:val="single" w:sz="4" w:space="0" w:color="000000"/>
              <w:bottom w:val="single" w:sz="4" w:space="0" w:color="000000"/>
              <w:right w:val="single" w:sz="4" w:space="0" w:color="000000"/>
            </w:tcBorders>
            <w:vAlign w:val="center"/>
          </w:tcPr>
          <w:p w14:paraId="4A0B4211"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Оранице и баште</w:t>
            </w:r>
          </w:p>
        </w:tc>
        <w:tc>
          <w:tcPr>
            <w:tcW w:w="1161" w:type="dxa"/>
            <w:tcBorders>
              <w:top w:val="single" w:sz="4" w:space="0" w:color="000000"/>
              <w:left w:val="single" w:sz="4" w:space="0" w:color="000000"/>
              <w:bottom w:val="single" w:sz="4" w:space="0" w:color="000000"/>
              <w:right w:val="single" w:sz="4" w:space="0" w:color="000000"/>
            </w:tcBorders>
            <w:vAlign w:val="center"/>
          </w:tcPr>
          <w:p w14:paraId="2CF262A4"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 xml:space="preserve">Воћњаци </w:t>
            </w:r>
          </w:p>
        </w:tc>
        <w:tc>
          <w:tcPr>
            <w:tcW w:w="1198" w:type="dxa"/>
            <w:tcBorders>
              <w:top w:val="single" w:sz="4" w:space="0" w:color="000000"/>
              <w:left w:val="single" w:sz="4" w:space="0" w:color="000000"/>
              <w:bottom w:val="single" w:sz="4" w:space="0" w:color="000000"/>
              <w:right w:val="single" w:sz="4" w:space="0" w:color="000000"/>
            </w:tcBorders>
            <w:vAlign w:val="center"/>
          </w:tcPr>
          <w:p w14:paraId="69BEE699"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 xml:space="preserve">Виногради </w:t>
            </w:r>
          </w:p>
        </w:tc>
        <w:tc>
          <w:tcPr>
            <w:tcW w:w="1162" w:type="dxa"/>
            <w:tcBorders>
              <w:top w:val="single" w:sz="4" w:space="0" w:color="000000"/>
              <w:left w:val="single" w:sz="4" w:space="0" w:color="000000"/>
              <w:bottom w:val="single" w:sz="4" w:space="0" w:color="000000"/>
              <w:right w:val="single" w:sz="4" w:space="0" w:color="000000"/>
            </w:tcBorders>
            <w:vAlign w:val="center"/>
          </w:tcPr>
          <w:p w14:paraId="5BA15E30"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Ливаде и пашњаци</w:t>
            </w:r>
          </w:p>
        </w:tc>
      </w:tr>
      <w:tr w:rsidR="000A4214" w14:paraId="6C7C85D9" w14:textId="77777777">
        <w:trPr>
          <w:trHeight w:val="20"/>
          <w:jc w:val="center"/>
        </w:trPr>
        <w:tc>
          <w:tcPr>
            <w:tcW w:w="1100" w:type="dxa"/>
            <w:tcBorders>
              <w:top w:val="single" w:sz="4" w:space="0" w:color="000000"/>
              <w:left w:val="single" w:sz="4" w:space="0" w:color="000000"/>
              <w:bottom w:val="single" w:sz="4" w:space="0" w:color="000000"/>
              <w:right w:val="single" w:sz="4" w:space="0" w:color="000000"/>
            </w:tcBorders>
            <w:vAlign w:val="center"/>
          </w:tcPr>
          <w:p w14:paraId="2153BFE1"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2018.</w:t>
            </w:r>
          </w:p>
        </w:tc>
        <w:tc>
          <w:tcPr>
            <w:tcW w:w="992" w:type="dxa"/>
            <w:tcBorders>
              <w:top w:val="single" w:sz="4" w:space="0" w:color="000000"/>
              <w:bottom w:val="single" w:sz="4" w:space="0" w:color="000000"/>
              <w:right w:val="single" w:sz="4" w:space="0" w:color="000000"/>
            </w:tcBorders>
            <w:shd w:val="clear" w:color="auto" w:fill="auto"/>
            <w:vAlign w:val="center"/>
          </w:tcPr>
          <w:p w14:paraId="24F4EE6F"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2.661</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6BEE0A"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29.751</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7EE0B"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86</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93F1DD"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29.111</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28B44"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325</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5A3B2"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59E08"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228</w:t>
            </w:r>
          </w:p>
        </w:tc>
      </w:tr>
      <w:tr w:rsidR="000A4214" w14:paraId="520C0130" w14:textId="77777777">
        <w:trPr>
          <w:trHeight w:val="20"/>
          <w:jc w:val="center"/>
        </w:trPr>
        <w:tc>
          <w:tcPr>
            <w:tcW w:w="1100" w:type="dxa"/>
            <w:tcBorders>
              <w:top w:val="single" w:sz="4" w:space="0" w:color="000000"/>
              <w:left w:val="single" w:sz="4" w:space="0" w:color="000000"/>
              <w:bottom w:val="single" w:sz="4" w:space="0" w:color="000000"/>
              <w:right w:val="single" w:sz="4" w:space="0" w:color="000000"/>
            </w:tcBorders>
            <w:vAlign w:val="center"/>
          </w:tcPr>
          <w:p w14:paraId="0027DA16"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2012.</w:t>
            </w:r>
          </w:p>
        </w:tc>
        <w:tc>
          <w:tcPr>
            <w:tcW w:w="992" w:type="dxa"/>
            <w:tcBorders>
              <w:top w:val="single" w:sz="4" w:space="0" w:color="000000"/>
              <w:bottom w:val="single" w:sz="4" w:space="0" w:color="000000"/>
              <w:right w:val="single" w:sz="4" w:space="0" w:color="000000"/>
            </w:tcBorders>
            <w:shd w:val="clear" w:color="auto" w:fill="auto"/>
            <w:vAlign w:val="bottom"/>
          </w:tcPr>
          <w:p w14:paraId="13E62209"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3.168</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474E8"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28.974,57</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F5D4FB"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85.51</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89865"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28.350,15</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B343A"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252,19</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F9799"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3,07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78C3E"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283,04</w:t>
            </w:r>
          </w:p>
        </w:tc>
      </w:tr>
      <w:tr w:rsidR="000A4214" w14:paraId="2FC8C639" w14:textId="77777777">
        <w:trPr>
          <w:trHeight w:val="20"/>
          <w:jc w:val="center"/>
        </w:trPr>
        <w:tc>
          <w:tcPr>
            <w:tcW w:w="1100" w:type="dxa"/>
            <w:tcBorders>
              <w:top w:val="single" w:sz="4" w:space="0" w:color="000000"/>
              <w:left w:val="single" w:sz="4" w:space="0" w:color="000000"/>
              <w:bottom w:val="single" w:sz="4" w:space="0" w:color="000000"/>
              <w:right w:val="single" w:sz="4" w:space="0" w:color="000000"/>
            </w:tcBorders>
            <w:vAlign w:val="center"/>
          </w:tcPr>
          <w:p w14:paraId="31966009"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2018/2012. (%)</w:t>
            </w:r>
          </w:p>
        </w:tc>
        <w:tc>
          <w:tcPr>
            <w:tcW w:w="992" w:type="dxa"/>
            <w:tcBorders>
              <w:top w:val="single" w:sz="4" w:space="0" w:color="000000"/>
              <w:bottom w:val="single" w:sz="4" w:space="0" w:color="000000"/>
              <w:right w:val="single" w:sz="4" w:space="0" w:color="000000"/>
            </w:tcBorders>
            <w:shd w:val="clear" w:color="auto" w:fill="auto"/>
            <w:vAlign w:val="center"/>
          </w:tcPr>
          <w:p w14:paraId="70EF0BB0"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-16,0</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057A6"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2,7</w:t>
            </w:r>
          </w:p>
        </w:tc>
        <w:tc>
          <w:tcPr>
            <w:tcW w:w="11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F46C2"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0,6</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A56F2"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2,7</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4CEA"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28,9</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A665"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-100,0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92E0F"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19,4</w:t>
            </w:r>
          </w:p>
        </w:tc>
      </w:tr>
    </w:tbl>
    <w:p w14:paraId="44694B34" w14:textId="77777777" w:rsidR="000A4214" w:rsidRDefault="0011139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Извор: </w:t>
      </w:r>
      <w:r>
        <w:rPr>
          <w:rFonts w:ascii="Times New Roman" w:eastAsia="Times New Roman" w:hAnsi="Times New Roman" w:cs="Times New Roman"/>
          <w:i/>
          <w:iCs/>
          <w:sz w:val="20"/>
          <w:szCs w:val="20"/>
        </w:rPr>
        <w:t>Попис пољопривреде 2012.</w:t>
      </w:r>
      <w:r>
        <w:rPr>
          <w:rFonts w:ascii="Times New Roman" w:eastAsia="Times New Roman" w:hAnsi="Times New Roman" w:cs="Times New Roman"/>
          <w:sz w:val="20"/>
          <w:szCs w:val="20"/>
        </w:rPr>
        <w:t xml:space="preserve"> и </w:t>
      </w:r>
      <w:r>
        <w:rPr>
          <w:rFonts w:ascii="Times New Roman" w:eastAsia="Times New Roman" w:hAnsi="Times New Roman" w:cs="Times New Roman"/>
          <w:i/>
          <w:iCs/>
          <w:sz w:val="20"/>
          <w:szCs w:val="20"/>
        </w:rPr>
        <w:t>Анкета о структури пољопривредних газдинстава 2018</w:t>
      </w:r>
      <w:r>
        <w:rPr>
          <w:rFonts w:ascii="Times New Roman" w:eastAsia="Times New Roman" w:hAnsi="Times New Roman" w:cs="Times New Roman"/>
          <w:sz w:val="20"/>
          <w:szCs w:val="20"/>
        </w:rPr>
        <w:t>, РЗС.</w:t>
      </w:r>
    </w:p>
    <w:p w14:paraId="1676E335" w14:textId="77777777" w:rsidR="000A4214" w:rsidRDefault="00111391">
      <w:p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односу на организационо правне форме пољопривредних газдинстава (Табела 3), структура КПЗ у општини Врбас је следећа:</w:t>
      </w:r>
    </w:p>
    <w:p w14:paraId="69F72F82" w14:textId="77777777" w:rsidR="000A4214" w:rsidRDefault="00111391">
      <w:pPr>
        <w:numPr>
          <w:ilvl w:val="0"/>
          <w:numId w:val="4"/>
        </w:numPr>
        <w:spacing w:before="60" w:after="60" w:line="24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породична пољопривредна газдинства власници су 17.047ха или 57,3% земљишта;</w:t>
      </w:r>
    </w:p>
    <w:p w14:paraId="4AE68477" w14:textId="77777777" w:rsidR="000A4214" w:rsidRDefault="00111391">
      <w:pPr>
        <w:numPr>
          <w:ilvl w:val="0"/>
          <w:numId w:val="4"/>
        </w:numPr>
        <w:spacing w:before="60" w:after="120" w:line="240" w:lineRule="auto"/>
        <w:ind w:left="284" w:hanging="28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правна лица и предузетници користе 12.704 ха земљишта или 42,7% коришћеног пољопривредног земљишта.</w:t>
      </w:r>
    </w:p>
    <w:p w14:paraId="087494D6"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Укупан број пољопривредних газдинстава у референтном периоду 2012–2018. године у општини мањи је за 16,0%. Са друге стране, дошло је повећања просечне величине поседа код обе организационо правне форме пољопривредних газдинстава, нарочито код правних лица (Табела 2 и 3).</w:t>
      </w:r>
    </w:p>
    <w:p w14:paraId="7B7E93C8" w14:textId="77777777" w:rsidR="000A4214" w:rsidRDefault="00111391">
      <w:pPr>
        <w:spacing w:before="120"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Табела 3</w:t>
      </w:r>
      <w:r>
        <w:rPr>
          <w:rFonts w:ascii="Times New Roman" w:eastAsia="Times New Roman" w:hAnsi="Times New Roman" w:cs="Times New Roman"/>
          <w:sz w:val="24"/>
          <w:szCs w:val="24"/>
        </w:rPr>
        <w:t>. Коришћено пољопривредно земљиште према организационо правним формама</w:t>
      </w:r>
    </w:p>
    <w:tbl>
      <w:tblPr>
        <w:tblW w:w="9123" w:type="dxa"/>
        <w:jc w:val="center"/>
        <w:tblLayout w:type="fixed"/>
        <w:tblLook w:val="0400" w:firstRow="0" w:lastRow="0" w:firstColumn="0" w:lastColumn="0" w:noHBand="0" w:noVBand="1"/>
      </w:tblPr>
      <w:tblGrid>
        <w:gridCol w:w="1694"/>
        <w:gridCol w:w="1694"/>
        <w:gridCol w:w="826"/>
        <w:gridCol w:w="1150"/>
        <w:gridCol w:w="1435"/>
        <w:gridCol w:w="993"/>
        <w:gridCol w:w="1331"/>
      </w:tblGrid>
      <w:tr w:rsidR="000A4214" w14:paraId="73B4E67C" w14:textId="77777777" w:rsidTr="00C06A21">
        <w:trPr>
          <w:jc w:val="center"/>
        </w:trPr>
        <w:tc>
          <w:tcPr>
            <w:tcW w:w="1694" w:type="dxa"/>
            <w:vMerge w:val="restart"/>
            <w:tcBorders>
              <w:top w:val="single" w:sz="4" w:space="0" w:color="000000"/>
              <w:left w:val="single" w:sz="4" w:space="0" w:color="000000"/>
              <w:bottom w:val="single" w:sz="4" w:space="0" w:color="000000"/>
              <w:right w:val="single" w:sz="4" w:space="0" w:color="000000"/>
            </w:tcBorders>
            <w:vAlign w:val="center"/>
          </w:tcPr>
          <w:p w14:paraId="41F848C8" w14:textId="77777777" w:rsidR="000A4214" w:rsidRDefault="00111391">
            <w:pPr>
              <w:widowControl w:val="0"/>
              <w:spacing w:before="60" w:after="60"/>
              <w:ind w:right="59"/>
              <w:rPr>
                <w:rFonts w:ascii="Times New Roman" w:eastAsia="Times New Roman" w:hAnsi="Times New Roman" w:cs="Times New Roman"/>
                <w:b/>
              </w:rPr>
            </w:pPr>
            <w:r>
              <w:rPr>
                <w:rFonts w:ascii="Times New Roman" w:eastAsia="Times New Roman" w:hAnsi="Times New Roman" w:cs="Times New Roman"/>
                <w:b/>
              </w:rPr>
              <w:t>Организационо правна форма газдинстава</w:t>
            </w:r>
          </w:p>
        </w:tc>
        <w:tc>
          <w:tcPr>
            <w:tcW w:w="3670" w:type="dxa"/>
            <w:gridSpan w:val="3"/>
            <w:tcBorders>
              <w:top w:val="single" w:sz="4" w:space="0" w:color="000000"/>
              <w:left w:val="single" w:sz="4" w:space="0" w:color="000000"/>
              <w:bottom w:val="single" w:sz="4" w:space="0" w:color="000000"/>
              <w:right w:val="single" w:sz="4" w:space="0" w:color="000000"/>
            </w:tcBorders>
          </w:tcPr>
          <w:p w14:paraId="6D0CF480"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2018.</w:t>
            </w:r>
          </w:p>
        </w:tc>
        <w:tc>
          <w:tcPr>
            <w:tcW w:w="3759" w:type="dxa"/>
            <w:gridSpan w:val="3"/>
            <w:tcBorders>
              <w:top w:val="single" w:sz="4" w:space="0" w:color="000000"/>
              <w:left w:val="single" w:sz="4" w:space="0" w:color="000000"/>
              <w:bottom w:val="single" w:sz="4" w:space="0" w:color="000000"/>
              <w:right w:val="single" w:sz="4" w:space="0" w:color="000000"/>
            </w:tcBorders>
          </w:tcPr>
          <w:p w14:paraId="250CB628"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2012.</w:t>
            </w:r>
          </w:p>
        </w:tc>
      </w:tr>
      <w:tr w:rsidR="000A4214" w14:paraId="1C625440" w14:textId="77777777" w:rsidTr="00C06A21">
        <w:trPr>
          <w:jc w:val="center"/>
        </w:trPr>
        <w:tc>
          <w:tcPr>
            <w:tcW w:w="1694" w:type="dxa"/>
            <w:vMerge/>
            <w:tcBorders>
              <w:top w:val="single" w:sz="4" w:space="0" w:color="000000"/>
              <w:left w:val="single" w:sz="4" w:space="0" w:color="000000"/>
              <w:bottom w:val="single" w:sz="4" w:space="0" w:color="000000"/>
              <w:right w:val="single" w:sz="4" w:space="0" w:color="000000"/>
            </w:tcBorders>
            <w:vAlign w:val="center"/>
          </w:tcPr>
          <w:p w14:paraId="7DFB0799" w14:textId="77777777" w:rsidR="000A4214" w:rsidRDefault="000A4214">
            <w:pPr>
              <w:widowControl w:val="0"/>
              <w:rPr>
                <w:rFonts w:ascii="Times New Roman" w:eastAsia="Times New Roman" w:hAnsi="Times New Roman" w:cs="Times New Roman"/>
                <w:b/>
              </w:rPr>
            </w:pPr>
          </w:p>
        </w:tc>
        <w:tc>
          <w:tcPr>
            <w:tcW w:w="1694" w:type="dxa"/>
            <w:tcBorders>
              <w:top w:val="single" w:sz="4" w:space="0" w:color="000000"/>
              <w:left w:val="single" w:sz="4" w:space="0" w:color="000000"/>
              <w:bottom w:val="single" w:sz="4" w:space="0" w:color="000000"/>
              <w:right w:val="single" w:sz="4" w:space="0" w:color="000000"/>
            </w:tcBorders>
            <w:vAlign w:val="center"/>
          </w:tcPr>
          <w:p w14:paraId="225F6FCC"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Пољопривредна газдинства</w:t>
            </w:r>
          </w:p>
        </w:tc>
        <w:tc>
          <w:tcPr>
            <w:tcW w:w="826" w:type="dxa"/>
            <w:tcBorders>
              <w:top w:val="single" w:sz="4" w:space="0" w:color="000000"/>
              <w:left w:val="single" w:sz="4" w:space="0" w:color="000000"/>
              <w:bottom w:val="single" w:sz="4" w:space="0" w:color="000000"/>
              <w:right w:val="single" w:sz="4" w:space="0" w:color="000000"/>
            </w:tcBorders>
            <w:vAlign w:val="center"/>
          </w:tcPr>
          <w:p w14:paraId="42509849"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КПЗ, ха</w:t>
            </w:r>
          </w:p>
        </w:tc>
        <w:tc>
          <w:tcPr>
            <w:tcW w:w="1150" w:type="dxa"/>
            <w:tcBorders>
              <w:top w:val="single" w:sz="4" w:space="0" w:color="000000"/>
              <w:left w:val="single" w:sz="4" w:space="0" w:color="000000"/>
              <w:bottom w:val="single" w:sz="4" w:space="0" w:color="000000"/>
              <w:right w:val="single" w:sz="4" w:space="0" w:color="000000"/>
            </w:tcBorders>
            <w:vAlign w:val="center"/>
          </w:tcPr>
          <w:p w14:paraId="28EF04AF"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Просечна површина КПЗ, ха</w:t>
            </w:r>
          </w:p>
        </w:tc>
        <w:tc>
          <w:tcPr>
            <w:tcW w:w="1435" w:type="dxa"/>
            <w:tcBorders>
              <w:top w:val="single" w:sz="4" w:space="0" w:color="000000"/>
              <w:left w:val="single" w:sz="4" w:space="0" w:color="000000"/>
              <w:bottom w:val="single" w:sz="4" w:space="0" w:color="000000"/>
              <w:right w:val="single" w:sz="4" w:space="0" w:color="000000"/>
            </w:tcBorders>
            <w:vAlign w:val="center"/>
          </w:tcPr>
          <w:p w14:paraId="74937115"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Пољопривредна газдинства</w:t>
            </w:r>
          </w:p>
        </w:tc>
        <w:tc>
          <w:tcPr>
            <w:tcW w:w="993" w:type="dxa"/>
            <w:tcBorders>
              <w:top w:val="single" w:sz="4" w:space="0" w:color="000000"/>
              <w:left w:val="single" w:sz="4" w:space="0" w:color="000000"/>
              <w:bottom w:val="single" w:sz="4" w:space="0" w:color="000000"/>
              <w:right w:val="single" w:sz="4" w:space="0" w:color="000000"/>
            </w:tcBorders>
            <w:vAlign w:val="center"/>
          </w:tcPr>
          <w:p w14:paraId="576625B8"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КПЗ, ха</w:t>
            </w:r>
          </w:p>
        </w:tc>
        <w:tc>
          <w:tcPr>
            <w:tcW w:w="1331" w:type="dxa"/>
            <w:tcBorders>
              <w:top w:val="single" w:sz="4" w:space="0" w:color="000000"/>
              <w:left w:val="single" w:sz="4" w:space="0" w:color="000000"/>
              <w:bottom w:val="single" w:sz="4" w:space="0" w:color="000000"/>
              <w:right w:val="single" w:sz="4" w:space="0" w:color="000000"/>
            </w:tcBorders>
            <w:vAlign w:val="center"/>
          </w:tcPr>
          <w:p w14:paraId="04C1DDB0" w14:textId="77777777" w:rsidR="000A4214" w:rsidRDefault="00111391">
            <w:pPr>
              <w:widowControl w:val="0"/>
              <w:spacing w:before="60" w:after="60"/>
              <w:jc w:val="center"/>
              <w:rPr>
                <w:rFonts w:ascii="Times New Roman" w:eastAsia="Times New Roman" w:hAnsi="Times New Roman" w:cs="Times New Roman"/>
                <w:b/>
              </w:rPr>
            </w:pPr>
            <w:r>
              <w:rPr>
                <w:rFonts w:ascii="Times New Roman" w:eastAsia="Times New Roman" w:hAnsi="Times New Roman" w:cs="Times New Roman"/>
                <w:b/>
              </w:rPr>
              <w:t>Просечна површина КПЗ, ха</w:t>
            </w:r>
          </w:p>
        </w:tc>
      </w:tr>
      <w:tr w:rsidR="000A4214" w14:paraId="535B119C" w14:textId="77777777" w:rsidTr="00C06A21">
        <w:trPr>
          <w:jc w:val="center"/>
        </w:trPr>
        <w:tc>
          <w:tcPr>
            <w:tcW w:w="1694" w:type="dxa"/>
            <w:tcBorders>
              <w:top w:val="single" w:sz="4" w:space="0" w:color="000000"/>
              <w:left w:val="single" w:sz="4" w:space="0" w:color="000000"/>
              <w:bottom w:val="single" w:sz="4" w:space="0" w:color="000000"/>
              <w:right w:val="single" w:sz="4" w:space="0" w:color="000000"/>
            </w:tcBorders>
          </w:tcPr>
          <w:p w14:paraId="0346CE48" w14:textId="77777777" w:rsidR="000A4214" w:rsidRDefault="00111391">
            <w:pPr>
              <w:widowControl w:val="0"/>
              <w:spacing w:before="60" w:after="60"/>
              <w:rPr>
                <w:rFonts w:ascii="Times New Roman" w:eastAsia="Times New Roman" w:hAnsi="Times New Roman" w:cs="Times New Roman"/>
              </w:rPr>
            </w:pPr>
            <w:r>
              <w:rPr>
                <w:rFonts w:ascii="Times New Roman" w:eastAsia="Times New Roman" w:hAnsi="Times New Roman" w:cs="Times New Roman"/>
              </w:rPr>
              <w:t>Породична пољопривредна газдинства</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44804"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2.642</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BB391"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17.047</w:t>
            </w: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4CB05"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6,5</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56B5"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3.140</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43A11"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18.272,4</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6FA0"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5,8</w:t>
            </w:r>
          </w:p>
        </w:tc>
      </w:tr>
      <w:tr w:rsidR="000A4214" w14:paraId="06F84347" w14:textId="77777777" w:rsidTr="00C06A21">
        <w:trPr>
          <w:jc w:val="center"/>
        </w:trPr>
        <w:tc>
          <w:tcPr>
            <w:tcW w:w="1694" w:type="dxa"/>
            <w:tcBorders>
              <w:top w:val="single" w:sz="4" w:space="0" w:color="000000"/>
              <w:left w:val="single" w:sz="4" w:space="0" w:color="000000"/>
              <w:bottom w:val="single" w:sz="4" w:space="0" w:color="000000"/>
              <w:right w:val="single" w:sz="4" w:space="0" w:color="000000"/>
            </w:tcBorders>
          </w:tcPr>
          <w:p w14:paraId="67BF6842" w14:textId="77777777" w:rsidR="000A4214" w:rsidRDefault="00111391">
            <w:pPr>
              <w:widowControl w:val="0"/>
              <w:spacing w:before="60" w:after="60"/>
              <w:rPr>
                <w:rFonts w:ascii="Times New Roman" w:eastAsia="Times New Roman" w:hAnsi="Times New Roman" w:cs="Times New Roman"/>
              </w:rPr>
            </w:pPr>
            <w:r>
              <w:rPr>
                <w:rFonts w:ascii="Times New Roman" w:eastAsia="Times New Roman" w:hAnsi="Times New Roman" w:cs="Times New Roman"/>
              </w:rPr>
              <w:t>Правна лица и предузетници</w:t>
            </w:r>
          </w:p>
        </w:tc>
        <w:tc>
          <w:tcPr>
            <w:tcW w:w="1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F9CF8"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ACA3"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12.704</w:t>
            </w:r>
          </w:p>
        </w:tc>
        <w:tc>
          <w:tcPr>
            <w:tcW w:w="1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CBB2F"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705,8</w:t>
            </w: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5EF57"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28</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B9A6B"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10.702,2</w:t>
            </w:r>
          </w:p>
        </w:tc>
        <w:tc>
          <w:tcPr>
            <w:tcW w:w="13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FF574"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382,2</w:t>
            </w:r>
          </w:p>
        </w:tc>
      </w:tr>
      <w:tr w:rsidR="000A4214" w14:paraId="2636E860" w14:textId="77777777" w:rsidTr="00C06A21">
        <w:trPr>
          <w:jc w:val="center"/>
        </w:trPr>
        <w:tc>
          <w:tcPr>
            <w:tcW w:w="1694" w:type="dxa"/>
            <w:tcBorders>
              <w:top w:val="single" w:sz="4" w:space="0" w:color="000000"/>
              <w:left w:val="single" w:sz="4" w:space="0" w:color="000000"/>
              <w:bottom w:val="single" w:sz="4" w:space="0" w:color="000000"/>
              <w:right w:val="single" w:sz="4" w:space="0" w:color="000000"/>
            </w:tcBorders>
            <w:shd w:val="clear" w:color="auto" w:fill="FFCC00"/>
          </w:tcPr>
          <w:p w14:paraId="7D39AFFD" w14:textId="77777777" w:rsidR="000A4214" w:rsidRDefault="00111391">
            <w:pPr>
              <w:widowControl w:val="0"/>
              <w:spacing w:before="60" w:after="60"/>
              <w:rPr>
                <w:rFonts w:ascii="Times New Roman" w:eastAsia="Times New Roman" w:hAnsi="Times New Roman" w:cs="Times New Roman"/>
              </w:rPr>
            </w:pPr>
            <w:r>
              <w:rPr>
                <w:rFonts w:ascii="Times New Roman" w:eastAsia="Times New Roman" w:hAnsi="Times New Roman" w:cs="Times New Roman"/>
              </w:rPr>
              <w:t xml:space="preserve">Укупно </w:t>
            </w:r>
          </w:p>
        </w:tc>
        <w:tc>
          <w:tcPr>
            <w:tcW w:w="1694"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29217BC4"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2.661</w:t>
            </w:r>
          </w:p>
        </w:tc>
        <w:tc>
          <w:tcPr>
            <w:tcW w:w="826"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0495D59D"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29.751</w:t>
            </w:r>
          </w:p>
        </w:tc>
        <w:tc>
          <w:tcPr>
            <w:tcW w:w="1150"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03309F7C"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11,2</w:t>
            </w:r>
          </w:p>
        </w:tc>
        <w:tc>
          <w:tcPr>
            <w:tcW w:w="1435"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7B631B67"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3.168</w:t>
            </w:r>
          </w:p>
        </w:tc>
        <w:tc>
          <w:tcPr>
            <w:tcW w:w="993"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241F49F0"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28.974,6</w:t>
            </w:r>
          </w:p>
        </w:tc>
        <w:tc>
          <w:tcPr>
            <w:tcW w:w="1331"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5F644EFB" w14:textId="77777777" w:rsidR="000A4214" w:rsidRDefault="00111391">
            <w:pPr>
              <w:widowControl w:val="0"/>
              <w:spacing w:before="60" w:after="60"/>
              <w:jc w:val="right"/>
              <w:rPr>
                <w:rFonts w:ascii="Times New Roman" w:eastAsia="Times New Roman" w:hAnsi="Times New Roman" w:cs="Times New Roman"/>
              </w:rPr>
            </w:pPr>
            <w:r>
              <w:rPr>
                <w:rFonts w:ascii="Times New Roman" w:eastAsia="Times New Roman" w:hAnsi="Times New Roman" w:cs="Times New Roman"/>
              </w:rPr>
              <w:t>9,1</w:t>
            </w:r>
          </w:p>
        </w:tc>
      </w:tr>
    </w:tbl>
    <w:p w14:paraId="237D61A6" w14:textId="77777777" w:rsidR="000A4214" w:rsidRDefault="0011139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Извор: </w:t>
      </w:r>
      <w:r>
        <w:rPr>
          <w:rFonts w:ascii="Times New Roman" w:eastAsia="Times New Roman" w:hAnsi="Times New Roman" w:cs="Times New Roman"/>
          <w:i/>
          <w:iCs/>
          <w:sz w:val="20"/>
          <w:szCs w:val="20"/>
        </w:rPr>
        <w:t>Попис пољопривреде 2012.</w:t>
      </w:r>
      <w:r>
        <w:rPr>
          <w:rFonts w:ascii="Times New Roman" w:eastAsia="Times New Roman" w:hAnsi="Times New Roman" w:cs="Times New Roman"/>
          <w:sz w:val="20"/>
          <w:szCs w:val="20"/>
        </w:rPr>
        <w:t xml:space="preserve"> и </w:t>
      </w:r>
      <w:r>
        <w:rPr>
          <w:rFonts w:ascii="Times New Roman" w:eastAsia="Times New Roman" w:hAnsi="Times New Roman" w:cs="Times New Roman"/>
          <w:i/>
          <w:iCs/>
          <w:sz w:val="20"/>
          <w:szCs w:val="20"/>
        </w:rPr>
        <w:t>Анкета о структури пољопривредних газдинстава 2018</w:t>
      </w:r>
      <w:r>
        <w:rPr>
          <w:rFonts w:ascii="Times New Roman" w:eastAsia="Times New Roman" w:hAnsi="Times New Roman" w:cs="Times New Roman"/>
          <w:sz w:val="20"/>
          <w:szCs w:val="20"/>
        </w:rPr>
        <w:t>, РЗС.</w:t>
      </w:r>
    </w:p>
    <w:p w14:paraId="1C17EEAE"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Просечна величина КПЗ пољопривредних газдинстава у општини Врбас износи 11,2 ха и нешто је мања у односу на Регион Војводине (12,4 ха) </w:t>
      </w:r>
      <w:r>
        <w:rPr>
          <w:rFonts w:ascii="Times New Roman" w:eastAsia="Times New Roman" w:hAnsi="Times New Roman" w:cs="Times New Roman"/>
          <w:color w:val="000000"/>
          <w:sz w:val="24"/>
          <w:szCs w:val="24"/>
        </w:rPr>
        <w:t>и Јужнобачку област (12,8 ха).</w:t>
      </w:r>
      <w:r>
        <w:rPr>
          <w:rFonts w:ascii="Times New Roman" w:eastAsia="Times New Roman" w:hAnsi="Times New Roman" w:cs="Times New Roman"/>
          <w:sz w:val="24"/>
          <w:szCs w:val="24"/>
        </w:rPr>
        <w:t xml:space="preserve"> Међутим, детаљнија анализа поседовне структуре указује на веома изражену уситњеност поседа пољопривредних газдинстава. Тако, готово 70% пољопривредних газдинстава има просечну величину поседа мању од 5 ха, а ова газдинства управљају са свега 9,8% укупних површина КПЗ на територији општине. Са друге стране, 0,5% укупног броја газдинстава располаже поседима величине преко 100 ха, али овај мали број газдинстава управља са 44,7% укупног КПЗ општине (Графикон 2).</w:t>
      </w:r>
    </w:p>
    <w:p w14:paraId="5D2C46BA"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Графикон 2. </w:t>
      </w:r>
      <w:r>
        <w:rPr>
          <w:rFonts w:ascii="Times New Roman" w:eastAsia="Times New Roman" w:hAnsi="Times New Roman" w:cs="Times New Roman"/>
          <w:sz w:val="24"/>
          <w:szCs w:val="24"/>
        </w:rPr>
        <w:t>Структура газдинстава према величини коришћеног пољопривредног земљишта (%)</w:t>
      </w:r>
    </w:p>
    <w:p w14:paraId="06A22C49" w14:textId="77777777" w:rsidR="000A4214" w:rsidRDefault="00111391">
      <w:pPr>
        <w:spacing w:after="0" w:line="240" w:lineRule="auto"/>
        <w:jc w:val="center"/>
        <w:rPr>
          <w:rFonts w:ascii="Times New Roman" w:eastAsia="Times New Roman" w:hAnsi="Times New Roman" w:cs="Times New Roman"/>
          <w:i/>
          <w:sz w:val="18"/>
          <w:szCs w:val="18"/>
        </w:rPr>
      </w:pPr>
      <w:r>
        <w:rPr>
          <w:noProof/>
        </w:rPr>
        <w:drawing>
          <wp:inline distT="0" distB="0" distL="0" distR="0" wp14:anchorId="4C464EF2" wp14:editId="404F7AB9">
            <wp:extent cx="5553075" cy="230314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0"/>
                    <a:stretch>
                      <a:fillRect/>
                    </a:stretch>
                  </pic:blipFill>
                  <pic:spPr bwMode="auto">
                    <a:xfrm>
                      <a:off x="0" y="0"/>
                      <a:ext cx="5553075" cy="2303145"/>
                    </a:xfrm>
                    <a:prstGeom prst="rect">
                      <a:avLst/>
                    </a:prstGeom>
                  </pic:spPr>
                </pic:pic>
              </a:graphicData>
            </a:graphic>
          </wp:inline>
        </w:drawing>
      </w:r>
    </w:p>
    <w:p w14:paraId="1689906A" w14:textId="77777777" w:rsidR="000A4214" w:rsidRDefault="00111391">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i/>
          <w:iCs/>
          <w:sz w:val="18"/>
          <w:szCs w:val="18"/>
        </w:rPr>
        <w:t>Извор:</w:t>
      </w:r>
      <w:r>
        <w:rPr>
          <w:rFonts w:ascii="Times New Roman" w:eastAsia="Times New Roman" w:hAnsi="Times New Roman" w:cs="Times New Roman"/>
          <w:sz w:val="18"/>
          <w:szCs w:val="18"/>
        </w:rPr>
        <w:t xml:space="preserve"> </w:t>
      </w:r>
      <w:r>
        <w:rPr>
          <w:rFonts w:ascii="Times New Roman" w:eastAsia="Times New Roman" w:hAnsi="Times New Roman" w:cs="Times New Roman"/>
          <w:i/>
          <w:iCs/>
          <w:sz w:val="18"/>
          <w:szCs w:val="18"/>
        </w:rPr>
        <w:t>Анкета о структури пољопривредних газдинстава</w:t>
      </w:r>
      <w:r>
        <w:rPr>
          <w:rFonts w:ascii="Times New Roman" w:eastAsia="Times New Roman" w:hAnsi="Times New Roman" w:cs="Times New Roman"/>
          <w:sz w:val="18"/>
          <w:szCs w:val="18"/>
        </w:rPr>
        <w:t>, РЗС, 2018.</w:t>
      </w:r>
    </w:p>
    <w:p w14:paraId="3675E636" w14:textId="77777777" w:rsidR="000A4214" w:rsidRDefault="00111391">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1.2. Комасација</w:t>
      </w:r>
    </w:p>
    <w:p w14:paraId="640D65D4"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подручју општине Врбас комасација је извршена у катастарским општинама Врбас, Бачко Добро Поље, Змајево и Равно Село. Поступак комасације још увек није извршен у КО Куцура, Савино Село и Косанчић. Кључни изазови са којима се Општинска управа сусреће у даљем напредовању поступка комасације јесу недостатак финансијских средстава и дужина трајања самог процеса.</w:t>
      </w:r>
    </w:p>
    <w:p w14:paraId="71086967"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Тренутно се у оквиру мера за </w:t>
      </w:r>
      <w:r>
        <w:rPr>
          <w:rFonts w:ascii="Times New Roman" w:eastAsia="Times New Roman" w:hAnsi="Times New Roman" w:cs="Times New Roman"/>
          <w:i/>
          <w:sz w:val="24"/>
          <w:szCs w:val="24"/>
        </w:rPr>
        <w:t>уређење</w:t>
      </w:r>
      <w:r>
        <w:rPr>
          <w:rFonts w:ascii="Times New Roman" w:eastAsia="Times New Roman" w:hAnsi="Times New Roman" w:cs="Times New Roman"/>
          <w:sz w:val="24"/>
          <w:szCs w:val="24"/>
        </w:rPr>
        <w:t xml:space="preserve"> земљишта финансирају пројекти одржавања канала за наводњавање и одводњавање, обележавање парцела државног земљишта, уређење атарских путева и претварања необрадивог у обрадиво земљиште. У оквиру мера </w:t>
      </w:r>
      <w:r>
        <w:rPr>
          <w:rFonts w:ascii="Times New Roman" w:eastAsia="Times New Roman" w:hAnsi="Times New Roman" w:cs="Times New Roman"/>
          <w:i/>
          <w:sz w:val="24"/>
          <w:szCs w:val="24"/>
        </w:rPr>
        <w:t xml:space="preserve">заштите </w:t>
      </w:r>
      <w:r>
        <w:rPr>
          <w:rFonts w:ascii="Times New Roman" w:eastAsia="Times New Roman" w:hAnsi="Times New Roman" w:cs="Times New Roman"/>
          <w:sz w:val="24"/>
          <w:szCs w:val="24"/>
        </w:rPr>
        <w:t>пољопривредног земљишта, врши се опремање противградне и пољочуварске службе, улаже се у противерозионе мере и подизање ветрозаштитних појасева, као и контролу плодности обрадивих површина (</w:t>
      </w:r>
      <w:r>
        <w:rPr>
          <w:rFonts w:ascii="Times New Roman" w:eastAsia="Times New Roman" w:hAnsi="Times New Roman" w:cs="Times New Roman"/>
          <w:i/>
          <w:iCs/>
          <w:sz w:val="24"/>
          <w:szCs w:val="24"/>
        </w:rPr>
        <w:t>Годишњи програм заштите, уређења и коришћења пољопривредног земљишта у државној својини на територији општине Врбас за 2020. годину</w:t>
      </w:r>
      <w:r>
        <w:rPr>
          <w:rFonts w:ascii="Times New Roman" w:eastAsia="Times New Roman" w:hAnsi="Times New Roman" w:cs="Times New Roman"/>
          <w:sz w:val="24"/>
          <w:szCs w:val="24"/>
        </w:rPr>
        <w:t>).</w:t>
      </w:r>
    </w:p>
    <w:p w14:paraId="6AC08A21" w14:textId="77777777" w:rsidR="000A4214" w:rsidRDefault="00111391">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1.3. Пољопривредно земљиште у државној својини</w:t>
      </w:r>
    </w:p>
    <w:p w14:paraId="777FFB9C"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Према </w:t>
      </w:r>
      <w:r>
        <w:rPr>
          <w:rFonts w:ascii="Times New Roman" w:eastAsia="Times New Roman" w:hAnsi="Times New Roman" w:cs="Times New Roman"/>
          <w:i/>
          <w:iCs/>
          <w:sz w:val="24"/>
          <w:szCs w:val="24"/>
        </w:rPr>
        <w:t>Годишњем програму заштите, уређења и коришћења пољопривредног земљишта у државној својини на територији општине Врбас за 2020. годину</w:t>
      </w:r>
      <w:r>
        <w:rPr>
          <w:rFonts w:ascii="Times New Roman" w:eastAsia="Times New Roman" w:hAnsi="Times New Roman" w:cs="Times New Roman"/>
          <w:sz w:val="24"/>
          <w:szCs w:val="24"/>
        </w:rPr>
        <w:t>, државно пољопривредно земљиште на подручју општине простире се на 5.366,2 ха (Табела 4). Међутим, са напредовањем поступка реституције смањују се површине државног земљишта на територији општине.</w:t>
      </w:r>
    </w:p>
    <w:p w14:paraId="671C52FE" w14:textId="77777777" w:rsidR="00C06A21" w:rsidRDefault="00C06A21">
      <w:pPr>
        <w:spacing w:before="120" w:after="0" w:line="240" w:lineRule="auto"/>
        <w:jc w:val="both"/>
        <w:rPr>
          <w:rFonts w:ascii="Times New Roman" w:eastAsia="Times New Roman" w:hAnsi="Times New Roman" w:cs="Times New Roman"/>
          <w:b/>
          <w:sz w:val="24"/>
          <w:szCs w:val="24"/>
        </w:rPr>
      </w:pPr>
    </w:p>
    <w:p w14:paraId="1BA199B4" w14:textId="77777777" w:rsidR="00C06A21" w:rsidRDefault="00C06A21">
      <w:pPr>
        <w:spacing w:before="120" w:after="0" w:line="240" w:lineRule="auto"/>
        <w:jc w:val="both"/>
        <w:rPr>
          <w:rFonts w:ascii="Times New Roman" w:eastAsia="Times New Roman" w:hAnsi="Times New Roman" w:cs="Times New Roman"/>
          <w:b/>
          <w:sz w:val="24"/>
          <w:szCs w:val="24"/>
        </w:rPr>
      </w:pPr>
    </w:p>
    <w:p w14:paraId="03E497E5" w14:textId="44A8D289"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Табела 4.</w:t>
      </w:r>
      <w:r>
        <w:rPr>
          <w:rFonts w:ascii="Times New Roman" w:eastAsia="Times New Roman" w:hAnsi="Times New Roman" w:cs="Times New Roman"/>
          <w:sz w:val="24"/>
          <w:szCs w:val="24"/>
        </w:rPr>
        <w:t xml:space="preserve"> Пољопривредно земљиште у државној својини на простору општине Врбас</w:t>
      </w:r>
    </w:p>
    <w:tbl>
      <w:tblPr>
        <w:tblW w:w="8969" w:type="dxa"/>
        <w:jc w:val="center"/>
        <w:tblLayout w:type="fixed"/>
        <w:tblLook w:val="0400" w:firstRow="0" w:lastRow="0" w:firstColumn="0" w:lastColumn="0" w:noHBand="0" w:noVBand="1"/>
      </w:tblPr>
      <w:tblGrid>
        <w:gridCol w:w="3784"/>
        <w:gridCol w:w="1804"/>
        <w:gridCol w:w="1703"/>
        <w:gridCol w:w="1678"/>
      </w:tblGrid>
      <w:tr w:rsidR="000A4214" w14:paraId="286D00C3" w14:textId="77777777">
        <w:trPr>
          <w:trHeight w:val="756"/>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3E85B" w14:textId="77777777" w:rsidR="000A4214" w:rsidRDefault="00111391">
            <w:pPr>
              <w:widowControl w:val="0"/>
              <w:spacing w:before="60" w:after="6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Катарстарска општина</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5E5CA" w14:textId="77777777" w:rsidR="000A4214" w:rsidRDefault="00111391">
            <w:pPr>
              <w:widowControl w:val="0"/>
              <w:spacing w:before="60" w:after="6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2020.</w:t>
            </w:r>
          </w:p>
        </w:tc>
        <w:tc>
          <w:tcPr>
            <w:tcW w:w="17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649A" w14:textId="77777777" w:rsidR="000A4214" w:rsidRDefault="00111391">
            <w:pPr>
              <w:widowControl w:val="0"/>
              <w:spacing w:before="60" w:after="6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2017.</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94946" w14:textId="77777777" w:rsidR="000A4214" w:rsidRDefault="00111391">
            <w:pPr>
              <w:widowControl w:val="0"/>
              <w:spacing w:before="60" w:after="6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2020/2017(%)</w:t>
            </w:r>
          </w:p>
        </w:tc>
      </w:tr>
      <w:tr w:rsidR="000A4214" w14:paraId="1C2456D8"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C2F5E7"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Врбас</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60A08B"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709,0121</w:t>
            </w:r>
          </w:p>
        </w:tc>
        <w:tc>
          <w:tcPr>
            <w:tcW w:w="1703" w:type="dxa"/>
            <w:tcBorders>
              <w:top w:val="single" w:sz="4" w:space="0" w:color="000000"/>
              <w:left w:val="single" w:sz="4" w:space="0" w:color="000000"/>
              <w:bottom w:val="single" w:sz="4" w:space="0" w:color="000000"/>
              <w:right w:val="single" w:sz="4" w:space="0" w:color="000000"/>
            </w:tcBorders>
          </w:tcPr>
          <w:p w14:paraId="17FBD7A1"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900,9553</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BFAE1"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21,3</w:t>
            </w:r>
          </w:p>
        </w:tc>
      </w:tr>
      <w:tr w:rsidR="000A4214" w14:paraId="52DC66ED"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244C6C"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Врбас </w:t>
            </w:r>
            <w:r>
              <w:rPr>
                <w:rFonts w:ascii="Times New Roman" w:eastAsia="Times New Roman" w:hAnsi="Times New Roman" w:cs="Times New Roman"/>
                <w:color w:val="000000"/>
                <w:sz w:val="24"/>
                <w:szCs w:val="24"/>
              </w:rPr>
              <w:t>– г</w:t>
            </w:r>
            <w:r>
              <w:rPr>
                <w:rFonts w:ascii="Times New Roman" w:eastAsia="Times New Roman" w:hAnsi="Times New Roman" w:cs="Times New Roman"/>
                <w:color w:val="000000"/>
              </w:rPr>
              <w:t>рад</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94AEAA"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68,1622</w:t>
            </w:r>
          </w:p>
        </w:tc>
        <w:tc>
          <w:tcPr>
            <w:tcW w:w="1703" w:type="dxa"/>
            <w:tcBorders>
              <w:top w:val="single" w:sz="4" w:space="0" w:color="000000"/>
              <w:left w:val="single" w:sz="4" w:space="0" w:color="000000"/>
              <w:bottom w:val="single" w:sz="4" w:space="0" w:color="000000"/>
              <w:right w:val="single" w:sz="4" w:space="0" w:color="000000"/>
            </w:tcBorders>
          </w:tcPr>
          <w:p w14:paraId="22FD8B06"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353,8018</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B21CB"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80,7</w:t>
            </w:r>
          </w:p>
        </w:tc>
      </w:tr>
      <w:tr w:rsidR="000A4214" w14:paraId="32695747"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656770"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Косанчић</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3E2F9F"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152,1920</w:t>
            </w:r>
          </w:p>
        </w:tc>
        <w:tc>
          <w:tcPr>
            <w:tcW w:w="1703" w:type="dxa"/>
            <w:tcBorders>
              <w:top w:val="single" w:sz="4" w:space="0" w:color="000000"/>
              <w:left w:val="single" w:sz="4" w:space="0" w:color="000000"/>
              <w:bottom w:val="single" w:sz="4" w:space="0" w:color="000000"/>
              <w:right w:val="single" w:sz="4" w:space="0" w:color="000000"/>
            </w:tcBorders>
          </w:tcPr>
          <w:p w14:paraId="31B5AB06"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1.532,4484</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ECADD"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w:t>
            </w:r>
          </w:p>
        </w:tc>
      </w:tr>
      <w:tr w:rsidR="000A4214" w14:paraId="09A5F643"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461437"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Куцура</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823828"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231,7495</w:t>
            </w:r>
          </w:p>
        </w:tc>
        <w:tc>
          <w:tcPr>
            <w:tcW w:w="1703" w:type="dxa"/>
            <w:tcBorders>
              <w:top w:val="single" w:sz="4" w:space="0" w:color="000000"/>
              <w:left w:val="single" w:sz="4" w:space="0" w:color="000000"/>
              <w:bottom w:val="single" w:sz="4" w:space="0" w:color="000000"/>
              <w:right w:val="single" w:sz="4" w:space="0" w:color="000000"/>
            </w:tcBorders>
          </w:tcPr>
          <w:p w14:paraId="6BB11685"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477,1449</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9CACE"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51,4</w:t>
            </w:r>
          </w:p>
        </w:tc>
      </w:tr>
      <w:tr w:rsidR="000A4214" w14:paraId="64326E60"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EE52F5F"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Савино Село</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5730D7"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602,0446</w:t>
            </w:r>
          </w:p>
        </w:tc>
        <w:tc>
          <w:tcPr>
            <w:tcW w:w="1703" w:type="dxa"/>
            <w:tcBorders>
              <w:top w:val="single" w:sz="4" w:space="0" w:color="000000"/>
              <w:left w:val="single" w:sz="4" w:space="0" w:color="000000"/>
              <w:bottom w:val="single" w:sz="4" w:space="0" w:color="000000"/>
              <w:right w:val="single" w:sz="4" w:space="0" w:color="000000"/>
            </w:tcBorders>
          </w:tcPr>
          <w:p w14:paraId="20F9A670"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646,0181</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2D3C2"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6,8</w:t>
            </w:r>
          </w:p>
        </w:tc>
      </w:tr>
      <w:tr w:rsidR="000A4214" w14:paraId="097FD9FE"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C13BDA"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Бачко Добро Поље</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22185F"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836,4017</w:t>
            </w:r>
          </w:p>
        </w:tc>
        <w:tc>
          <w:tcPr>
            <w:tcW w:w="1703" w:type="dxa"/>
            <w:tcBorders>
              <w:top w:val="single" w:sz="4" w:space="0" w:color="000000"/>
              <w:left w:val="single" w:sz="4" w:space="0" w:color="000000"/>
              <w:bottom w:val="single" w:sz="4" w:space="0" w:color="000000"/>
              <w:right w:val="single" w:sz="4" w:space="0" w:color="000000"/>
            </w:tcBorders>
          </w:tcPr>
          <w:p w14:paraId="2C0DF038"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1.054,8135</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569FD"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20,7</w:t>
            </w:r>
          </w:p>
        </w:tc>
      </w:tr>
      <w:tr w:rsidR="000A4214" w14:paraId="5381F22F"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DA98E7"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Равно Село</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288F2A"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200,5487</w:t>
            </w:r>
          </w:p>
        </w:tc>
        <w:tc>
          <w:tcPr>
            <w:tcW w:w="1703" w:type="dxa"/>
            <w:tcBorders>
              <w:top w:val="single" w:sz="4" w:space="0" w:color="000000"/>
              <w:left w:val="single" w:sz="4" w:space="0" w:color="000000"/>
              <w:bottom w:val="single" w:sz="4" w:space="0" w:color="000000"/>
              <w:right w:val="single" w:sz="4" w:space="0" w:color="000000"/>
            </w:tcBorders>
          </w:tcPr>
          <w:p w14:paraId="40090F68"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369,7277</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0D7C2"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45,8</w:t>
            </w:r>
          </w:p>
        </w:tc>
      </w:tr>
      <w:tr w:rsidR="000A4214" w14:paraId="738A431D"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34E491"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Змајево</w:t>
            </w:r>
          </w:p>
        </w:tc>
        <w:tc>
          <w:tcPr>
            <w:tcW w:w="180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731734D"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1.194,042</w:t>
            </w:r>
          </w:p>
        </w:tc>
        <w:tc>
          <w:tcPr>
            <w:tcW w:w="1703" w:type="dxa"/>
            <w:tcBorders>
              <w:top w:val="single" w:sz="4" w:space="0" w:color="000000"/>
              <w:left w:val="single" w:sz="4" w:space="0" w:color="000000"/>
              <w:bottom w:val="single" w:sz="4" w:space="0" w:color="000000"/>
              <w:right w:val="single" w:sz="4" w:space="0" w:color="000000"/>
            </w:tcBorders>
          </w:tcPr>
          <w:p w14:paraId="3F214F01"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1.708,3410</w:t>
            </w:r>
          </w:p>
        </w:tc>
        <w:tc>
          <w:tcPr>
            <w:tcW w:w="1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0A0EB"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30,1</w:t>
            </w:r>
          </w:p>
        </w:tc>
      </w:tr>
      <w:tr w:rsidR="000A4214" w14:paraId="2129A194" w14:textId="77777777">
        <w:trPr>
          <w:trHeight w:val="20"/>
          <w:jc w:val="center"/>
        </w:trPr>
        <w:tc>
          <w:tcPr>
            <w:tcW w:w="3783" w:type="dxa"/>
            <w:tcBorders>
              <w:top w:val="single" w:sz="4" w:space="0" w:color="000000"/>
              <w:left w:val="single" w:sz="4" w:space="0" w:color="000000"/>
              <w:bottom w:val="single" w:sz="4" w:space="0" w:color="000000"/>
              <w:right w:val="single" w:sz="4" w:space="0" w:color="000000"/>
            </w:tcBorders>
            <w:shd w:val="clear" w:color="auto" w:fill="FFCC00"/>
            <w:vAlign w:val="bottom"/>
          </w:tcPr>
          <w:p w14:paraId="1A3DB788" w14:textId="77777777" w:rsidR="000A4214" w:rsidRDefault="00111391">
            <w:pPr>
              <w:widowControl w:val="0"/>
              <w:spacing w:before="60" w:after="6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Укупно</w:t>
            </w:r>
          </w:p>
        </w:tc>
        <w:tc>
          <w:tcPr>
            <w:tcW w:w="1804" w:type="dxa"/>
            <w:tcBorders>
              <w:top w:val="single" w:sz="4" w:space="0" w:color="000000"/>
              <w:left w:val="single" w:sz="4" w:space="0" w:color="000000"/>
              <w:bottom w:val="single" w:sz="4" w:space="0" w:color="000000"/>
              <w:right w:val="single" w:sz="4" w:space="0" w:color="000000"/>
            </w:tcBorders>
            <w:shd w:val="clear" w:color="auto" w:fill="FFCC00"/>
            <w:vAlign w:val="bottom"/>
          </w:tcPr>
          <w:p w14:paraId="4CB6A9F5"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5.366,153</w:t>
            </w:r>
          </w:p>
        </w:tc>
        <w:tc>
          <w:tcPr>
            <w:tcW w:w="1703" w:type="dxa"/>
            <w:tcBorders>
              <w:top w:val="single" w:sz="4" w:space="0" w:color="000000"/>
              <w:left w:val="single" w:sz="4" w:space="0" w:color="000000"/>
              <w:bottom w:val="single" w:sz="4" w:space="0" w:color="000000"/>
              <w:right w:val="single" w:sz="4" w:space="0" w:color="000000"/>
            </w:tcBorders>
            <w:shd w:val="clear" w:color="auto" w:fill="FFCC00"/>
          </w:tcPr>
          <w:p w14:paraId="16A2F5C5"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7.043,2507</w:t>
            </w:r>
          </w:p>
        </w:tc>
        <w:tc>
          <w:tcPr>
            <w:tcW w:w="1678"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04BB5146" w14:textId="77777777" w:rsidR="000A4214" w:rsidRDefault="00111391">
            <w:pPr>
              <w:widowControl w:val="0"/>
              <w:spacing w:before="60" w:after="6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23,8</w:t>
            </w:r>
          </w:p>
        </w:tc>
      </w:tr>
    </w:tbl>
    <w:p w14:paraId="5528789D" w14:textId="77777777" w:rsidR="000A4214" w:rsidRDefault="0011139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Извор: </w:t>
      </w:r>
      <w:r>
        <w:rPr>
          <w:rFonts w:ascii="Times New Roman" w:eastAsia="Times New Roman" w:hAnsi="Times New Roman" w:cs="Times New Roman"/>
          <w:i/>
          <w:iCs/>
          <w:sz w:val="20"/>
          <w:szCs w:val="20"/>
        </w:rPr>
        <w:t>Годишњи програм заштите, уређења и коришћења пољопривредног земљишта у државној својини на територији општине Врбас за 2017. и 2020. годину.</w:t>
      </w:r>
    </w:p>
    <w:p w14:paraId="0CA814AD"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 у периоду 2017–2020. године, ове површине смањене су за 23,8%, а планирана средства од закупа пољопривредног земљишта у државној својини за 21,8%.</w:t>
      </w:r>
    </w:p>
    <w:p w14:paraId="272DEB12"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1.4. Наводњавање пољопривредног земљишта</w:t>
      </w:r>
    </w:p>
    <w:p w14:paraId="279FCA30"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Према подацима Републичког завода за статистику из 2018. (</w:t>
      </w:r>
      <w:r>
        <w:rPr>
          <w:rFonts w:ascii="Times New Roman" w:eastAsia="Times New Roman" w:hAnsi="Times New Roman" w:cs="Times New Roman"/>
          <w:i/>
          <w:iCs/>
          <w:sz w:val="24"/>
          <w:szCs w:val="24"/>
        </w:rPr>
        <w:t>Анкета о броју газдинстава и наводњавана површина земљишта према врстама усева и категоријама коришћења</w:t>
      </w:r>
      <w:r>
        <w:rPr>
          <w:rFonts w:ascii="Times New Roman" w:eastAsia="Times New Roman" w:hAnsi="Times New Roman" w:cs="Times New Roman"/>
          <w:sz w:val="24"/>
          <w:szCs w:val="24"/>
        </w:rPr>
        <w:t>), на подручју општине Врбас укупно се наводњава 6.709 ха на земљишту 326 пољопривредних газдинстава.</w:t>
      </w:r>
    </w:p>
    <w:p w14:paraId="381C5334"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Начини наводњавања који се примењују на подручју општине Врбас су (Табела 5): површински (32,2%), орошавање или вештачка киша (26,1%) и кап по кап (41,7%).</w:t>
      </w:r>
    </w:p>
    <w:p w14:paraId="31B0BB79" w14:textId="77777777" w:rsidR="000A4214" w:rsidRDefault="00111391">
      <w:pPr>
        <w:spacing w:before="120" w:after="6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Табела 5. </w:t>
      </w:r>
      <w:r>
        <w:rPr>
          <w:rFonts w:ascii="Times New Roman" w:eastAsia="Times New Roman" w:hAnsi="Times New Roman" w:cs="Times New Roman"/>
          <w:sz w:val="24"/>
          <w:szCs w:val="24"/>
        </w:rPr>
        <w:t>Начини наводњавања на подручју општине Врбас</w:t>
      </w:r>
      <w:r>
        <w:rPr>
          <w:rFonts w:ascii="Times New Roman" w:eastAsia="Times New Roman" w:hAnsi="Times New Roman" w:cs="Times New Roman"/>
          <w:b/>
          <w:sz w:val="24"/>
          <w:szCs w:val="24"/>
        </w:rPr>
        <w:t xml:space="preserve"> </w:t>
      </w:r>
    </w:p>
    <w:tbl>
      <w:tblPr>
        <w:tblW w:w="9072" w:type="dxa"/>
        <w:tblInd w:w="108" w:type="dxa"/>
        <w:tblLayout w:type="fixed"/>
        <w:tblLook w:val="0400" w:firstRow="0" w:lastRow="0" w:firstColumn="0" w:lastColumn="0" w:noHBand="0" w:noVBand="1"/>
      </w:tblPr>
      <w:tblGrid>
        <w:gridCol w:w="2327"/>
        <w:gridCol w:w="2321"/>
        <w:gridCol w:w="2326"/>
        <w:gridCol w:w="2098"/>
      </w:tblGrid>
      <w:tr w:rsidR="000A4214" w14:paraId="513C5240" w14:textId="77777777">
        <w:tc>
          <w:tcPr>
            <w:tcW w:w="23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14D2AB"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Регион/Област</w:t>
            </w:r>
          </w:p>
        </w:tc>
        <w:tc>
          <w:tcPr>
            <w:tcW w:w="67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DE2CF6D"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Начин наводњавања (%)</w:t>
            </w:r>
          </w:p>
        </w:tc>
      </w:tr>
      <w:tr w:rsidR="000A4214" w14:paraId="2C64E2E7" w14:textId="77777777">
        <w:tc>
          <w:tcPr>
            <w:tcW w:w="23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2C504C" w14:textId="77777777" w:rsidR="000A4214" w:rsidRDefault="000A4214">
            <w:pPr>
              <w:widowControl w:val="0"/>
              <w:spacing w:after="0"/>
              <w:rPr>
                <w:rFonts w:ascii="Times New Roman" w:eastAsia="Times New Roman" w:hAnsi="Times New Roman" w:cs="Times New Roman"/>
                <w:b/>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12E6E"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Површински </w:t>
            </w:r>
          </w:p>
        </w:tc>
        <w:tc>
          <w:tcPr>
            <w:tcW w:w="23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EFBFE"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Орошавањем </w:t>
            </w:r>
          </w:p>
        </w:tc>
        <w:tc>
          <w:tcPr>
            <w:tcW w:w="2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6046F"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Кап по кап</w:t>
            </w:r>
          </w:p>
        </w:tc>
      </w:tr>
      <w:tr w:rsidR="000A4214" w14:paraId="6F07C151" w14:textId="77777777">
        <w:tc>
          <w:tcPr>
            <w:tcW w:w="23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183D2" w14:textId="77777777" w:rsidR="000A4214" w:rsidRDefault="00111391">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Република Србија</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E933"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60,6</w:t>
            </w:r>
          </w:p>
        </w:tc>
        <w:tc>
          <w:tcPr>
            <w:tcW w:w="23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14888"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12,2</w:t>
            </w:r>
          </w:p>
        </w:tc>
        <w:tc>
          <w:tcPr>
            <w:tcW w:w="2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85EBF"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27,2</w:t>
            </w:r>
          </w:p>
        </w:tc>
      </w:tr>
      <w:tr w:rsidR="000A4214" w14:paraId="7213DF12" w14:textId="77777777">
        <w:tc>
          <w:tcPr>
            <w:tcW w:w="23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02B0D" w14:textId="77777777" w:rsidR="000A4214" w:rsidRDefault="00111391">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Регион Војводине</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577C"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38,7</w:t>
            </w:r>
          </w:p>
        </w:tc>
        <w:tc>
          <w:tcPr>
            <w:tcW w:w="23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8E7A5"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25,0</w:t>
            </w:r>
          </w:p>
        </w:tc>
        <w:tc>
          <w:tcPr>
            <w:tcW w:w="2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B763E"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36,2</w:t>
            </w:r>
          </w:p>
        </w:tc>
      </w:tr>
      <w:tr w:rsidR="000A4214" w14:paraId="2142126A" w14:textId="77777777">
        <w:tc>
          <w:tcPr>
            <w:tcW w:w="23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1985E" w14:textId="77777777" w:rsidR="000A4214" w:rsidRDefault="00111391">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Јужнобачка област</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F3E77"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37,7</w:t>
            </w:r>
          </w:p>
        </w:tc>
        <w:tc>
          <w:tcPr>
            <w:tcW w:w="23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C3FDB"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33,1</w:t>
            </w:r>
          </w:p>
        </w:tc>
        <w:tc>
          <w:tcPr>
            <w:tcW w:w="2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AB297"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29,2</w:t>
            </w:r>
          </w:p>
        </w:tc>
      </w:tr>
      <w:tr w:rsidR="000A4214" w14:paraId="4A554A83" w14:textId="77777777">
        <w:tc>
          <w:tcPr>
            <w:tcW w:w="232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EC931E3" w14:textId="77777777" w:rsidR="000A4214" w:rsidRDefault="00111391">
            <w:pPr>
              <w:widowControl w:val="0"/>
              <w:spacing w:after="0" w:line="240" w:lineRule="auto"/>
              <w:rPr>
                <w:rFonts w:ascii="Times New Roman" w:eastAsia="Times New Roman" w:hAnsi="Times New Roman" w:cs="Times New Roman"/>
                <w:b/>
              </w:rPr>
            </w:pPr>
            <w:r>
              <w:rPr>
                <w:rFonts w:ascii="Times New Roman" w:eastAsia="Times New Roman" w:hAnsi="Times New Roman" w:cs="Times New Roman"/>
                <w:b/>
              </w:rPr>
              <w:t>Врбас</w:t>
            </w:r>
          </w:p>
        </w:tc>
        <w:tc>
          <w:tcPr>
            <w:tcW w:w="232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78BD950" w14:textId="77777777" w:rsidR="000A4214" w:rsidRDefault="00111391">
            <w:pPr>
              <w:widowControl w:val="0"/>
              <w:tabs>
                <w:tab w:val="center" w:pos="1052"/>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32,2</w:t>
            </w:r>
          </w:p>
        </w:tc>
        <w:tc>
          <w:tcPr>
            <w:tcW w:w="232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B1C91AE"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26,1</w:t>
            </w:r>
          </w:p>
        </w:tc>
        <w:tc>
          <w:tcPr>
            <w:tcW w:w="2098"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20D7BDB"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41,7</w:t>
            </w:r>
          </w:p>
        </w:tc>
      </w:tr>
    </w:tbl>
    <w:p w14:paraId="45186825" w14:textId="77777777" w:rsidR="000A4214" w:rsidRDefault="00111391">
      <w:pPr>
        <w:spacing w:before="6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Извор:</w:t>
      </w:r>
      <w:r>
        <w:rPr>
          <w:rFonts w:ascii="Times New Roman" w:eastAsia="Times New Roman" w:hAnsi="Times New Roman" w:cs="Times New Roman"/>
          <w:i/>
          <w:sz w:val="20"/>
          <w:szCs w:val="20"/>
        </w:rPr>
        <w:t xml:space="preserve"> </w:t>
      </w:r>
      <w:r>
        <w:rPr>
          <w:rFonts w:ascii="Times New Roman" w:eastAsia="Times New Roman" w:hAnsi="Times New Roman" w:cs="Times New Roman"/>
          <w:i/>
          <w:iCs/>
          <w:sz w:val="20"/>
          <w:szCs w:val="20"/>
        </w:rPr>
        <w:t>Попис пољопривреде 2011/2012</w:t>
      </w:r>
      <w:r>
        <w:rPr>
          <w:rFonts w:ascii="Times New Roman" w:eastAsia="Times New Roman" w:hAnsi="Times New Roman" w:cs="Times New Roman"/>
          <w:sz w:val="20"/>
          <w:szCs w:val="20"/>
        </w:rPr>
        <w:t>, Књига I.</w:t>
      </w:r>
    </w:p>
    <w:p w14:paraId="54602423"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Главни извори воде за наводњавање су (Табела 6): подземне воде на газдинству 63,3%, површинске воде на газдинству 2,9%, површинске воде ван газдинства (29,6%), вода из водовoда (3,1%) и остали извори (1,1%).</w:t>
      </w:r>
    </w:p>
    <w:p w14:paraId="70E528FB" w14:textId="77777777" w:rsidR="00C06A21" w:rsidRDefault="00C06A21">
      <w:pPr>
        <w:spacing w:before="120" w:after="60" w:line="240" w:lineRule="auto"/>
        <w:jc w:val="both"/>
        <w:rPr>
          <w:rFonts w:ascii="Times New Roman" w:eastAsia="Times New Roman" w:hAnsi="Times New Roman" w:cs="Times New Roman"/>
          <w:b/>
          <w:sz w:val="24"/>
          <w:szCs w:val="24"/>
        </w:rPr>
      </w:pPr>
    </w:p>
    <w:p w14:paraId="2A71F671" w14:textId="77777777" w:rsidR="00C06A21" w:rsidRDefault="00C06A21">
      <w:pPr>
        <w:spacing w:before="120" w:after="60" w:line="240" w:lineRule="auto"/>
        <w:jc w:val="both"/>
        <w:rPr>
          <w:rFonts w:ascii="Times New Roman" w:eastAsia="Times New Roman" w:hAnsi="Times New Roman" w:cs="Times New Roman"/>
          <w:b/>
          <w:sz w:val="24"/>
          <w:szCs w:val="24"/>
        </w:rPr>
      </w:pPr>
    </w:p>
    <w:p w14:paraId="5BF7A1FB" w14:textId="77777777" w:rsidR="00C06A21" w:rsidRDefault="00C06A21">
      <w:pPr>
        <w:spacing w:before="120" w:after="60" w:line="240" w:lineRule="auto"/>
        <w:jc w:val="both"/>
        <w:rPr>
          <w:rFonts w:ascii="Times New Roman" w:eastAsia="Times New Roman" w:hAnsi="Times New Roman" w:cs="Times New Roman"/>
          <w:b/>
          <w:sz w:val="24"/>
          <w:szCs w:val="24"/>
        </w:rPr>
      </w:pPr>
    </w:p>
    <w:p w14:paraId="20C496F0" w14:textId="77777777" w:rsidR="00C06A21" w:rsidRDefault="00C06A21">
      <w:pPr>
        <w:spacing w:before="120" w:after="60" w:line="240" w:lineRule="auto"/>
        <w:jc w:val="both"/>
        <w:rPr>
          <w:rFonts w:ascii="Times New Roman" w:eastAsia="Times New Roman" w:hAnsi="Times New Roman" w:cs="Times New Roman"/>
          <w:b/>
          <w:sz w:val="24"/>
          <w:szCs w:val="24"/>
        </w:rPr>
      </w:pPr>
    </w:p>
    <w:p w14:paraId="015D976D" w14:textId="77777777" w:rsidR="00C06A21" w:rsidRDefault="00C06A21">
      <w:pPr>
        <w:spacing w:before="120" w:after="60" w:line="240" w:lineRule="auto"/>
        <w:jc w:val="both"/>
        <w:rPr>
          <w:rFonts w:ascii="Times New Roman" w:eastAsia="Times New Roman" w:hAnsi="Times New Roman" w:cs="Times New Roman"/>
          <w:b/>
          <w:sz w:val="24"/>
          <w:szCs w:val="24"/>
        </w:rPr>
      </w:pPr>
    </w:p>
    <w:p w14:paraId="18BD3502" w14:textId="77777777" w:rsidR="00C06A21" w:rsidRDefault="00C06A21">
      <w:pPr>
        <w:spacing w:before="120" w:after="60" w:line="240" w:lineRule="auto"/>
        <w:jc w:val="both"/>
        <w:rPr>
          <w:rFonts w:ascii="Times New Roman" w:eastAsia="Times New Roman" w:hAnsi="Times New Roman" w:cs="Times New Roman"/>
          <w:b/>
          <w:sz w:val="24"/>
          <w:szCs w:val="24"/>
        </w:rPr>
      </w:pPr>
    </w:p>
    <w:p w14:paraId="0757449C" w14:textId="7E86E99D" w:rsidR="000A4214" w:rsidRDefault="00111391">
      <w:pPr>
        <w:spacing w:before="120" w:after="6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Табела 6. </w:t>
      </w:r>
      <w:r>
        <w:rPr>
          <w:rFonts w:ascii="Times New Roman" w:eastAsia="Times New Roman" w:hAnsi="Times New Roman" w:cs="Times New Roman"/>
          <w:sz w:val="24"/>
          <w:szCs w:val="24"/>
        </w:rPr>
        <w:t>Главни извори воде за наводњавање на подручју општине Врбас</w:t>
      </w:r>
    </w:p>
    <w:tbl>
      <w:tblPr>
        <w:tblW w:w="9073" w:type="dxa"/>
        <w:jc w:val="center"/>
        <w:tblLayout w:type="fixed"/>
        <w:tblLook w:val="0400" w:firstRow="0" w:lastRow="0" w:firstColumn="0" w:lastColumn="0" w:noHBand="0" w:noVBand="1"/>
      </w:tblPr>
      <w:tblGrid>
        <w:gridCol w:w="2125"/>
        <w:gridCol w:w="1409"/>
        <w:gridCol w:w="1549"/>
        <w:gridCol w:w="1550"/>
        <w:gridCol w:w="1167"/>
        <w:gridCol w:w="1273"/>
      </w:tblGrid>
      <w:tr w:rsidR="000A4214" w14:paraId="196A9B77" w14:textId="77777777">
        <w:trPr>
          <w:jc w:val="center"/>
        </w:trPr>
        <w:tc>
          <w:tcPr>
            <w:tcW w:w="21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EFCBBF"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Регион/Област</w:t>
            </w:r>
          </w:p>
        </w:tc>
        <w:tc>
          <w:tcPr>
            <w:tcW w:w="69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682545"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Главни извор воде за наводњавање (%)</w:t>
            </w:r>
          </w:p>
        </w:tc>
      </w:tr>
      <w:tr w:rsidR="000A4214" w14:paraId="3C61F60D" w14:textId="77777777">
        <w:trPr>
          <w:jc w:val="center"/>
        </w:trPr>
        <w:tc>
          <w:tcPr>
            <w:tcW w:w="21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DADE14" w14:textId="77777777" w:rsidR="000A4214" w:rsidRDefault="000A4214">
            <w:pPr>
              <w:widowControl w:val="0"/>
              <w:spacing w:after="0"/>
              <w:rPr>
                <w:rFonts w:ascii="Times New Roman" w:eastAsia="Times New Roman" w:hAnsi="Times New Roman" w:cs="Times New Roman"/>
                <w:b/>
              </w:rPr>
            </w:pPr>
          </w:p>
        </w:tc>
        <w:tc>
          <w:tcPr>
            <w:tcW w:w="1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6616F"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Подземне воде на газдинству</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4B3B1"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Површинске воде на газдинству</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E7B5E"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Површинске воде ван газдинства</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BED5"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Вода из водовода</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CA9E"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Остали извори</w:t>
            </w:r>
          </w:p>
        </w:tc>
      </w:tr>
      <w:tr w:rsidR="000A4214" w14:paraId="02142493" w14:textId="77777777">
        <w:trPr>
          <w:jc w:val="center"/>
        </w:trPr>
        <w:tc>
          <w:tcPr>
            <w:tcW w:w="2124" w:type="dxa"/>
            <w:tcBorders>
              <w:top w:val="single" w:sz="4" w:space="0" w:color="000000"/>
              <w:left w:val="single" w:sz="4" w:space="0" w:color="000000"/>
              <w:bottom w:val="single" w:sz="4" w:space="0" w:color="000000"/>
              <w:right w:val="single" w:sz="4" w:space="0" w:color="000000"/>
            </w:tcBorders>
            <w:shd w:val="clear" w:color="auto" w:fill="auto"/>
          </w:tcPr>
          <w:p w14:paraId="152924DF" w14:textId="77777777" w:rsidR="000A4214" w:rsidRDefault="00111391">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Република Србија</w:t>
            </w:r>
          </w:p>
        </w:tc>
        <w:tc>
          <w:tcPr>
            <w:tcW w:w="1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831D0"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51,6</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BD83F"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6,7</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3C101"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31,0</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00E38"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6,5</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E3F6E"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4,2</w:t>
            </w:r>
          </w:p>
        </w:tc>
      </w:tr>
      <w:tr w:rsidR="000A4214" w14:paraId="4A464E78" w14:textId="77777777">
        <w:trPr>
          <w:jc w:val="center"/>
        </w:trPr>
        <w:tc>
          <w:tcPr>
            <w:tcW w:w="2124" w:type="dxa"/>
            <w:tcBorders>
              <w:top w:val="single" w:sz="4" w:space="0" w:color="000000"/>
              <w:left w:val="single" w:sz="4" w:space="0" w:color="000000"/>
              <w:bottom w:val="single" w:sz="4" w:space="0" w:color="000000"/>
              <w:right w:val="single" w:sz="4" w:space="0" w:color="000000"/>
            </w:tcBorders>
            <w:shd w:val="clear" w:color="auto" w:fill="auto"/>
          </w:tcPr>
          <w:p w14:paraId="59CBC510" w14:textId="77777777" w:rsidR="000A4214" w:rsidRDefault="00111391">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Регион Војводине</w:t>
            </w:r>
          </w:p>
        </w:tc>
        <w:tc>
          <w:tcPr>
            <w:tcW w:w="1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3D05A"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44,9</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CFFDD"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5,2</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07BCE"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40,2</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A625B"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C12B4"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4,6</w:t>
            </w:r>
          </w:p>
        </w:tc>
      </w:tr>
      <w:tr w:rsidR="000A4214" w14:paraId="793746AB" w14:textId="77777777">
        <w:trPr>
          <w:jc w:val="center"/>
        </w:trPr>
        <w:tc>
          <w:tcPr>
            <w:tcW w:w="2124" w:type="dxa"/>
            <w:tcBorders>
              <w:top w:val="single" w:sz="4" w:space="0" w:color="000000"/>
              <w:left w:val="single" w:sz="4" w:space="0" w:color="000000"/>
              <w:bottom w:val="single" w:sz="4" w:space="0" w:color="000000"/>
              <w:right w:val="single" w:sz="4" w:space="0" w:color="000000"/>
            </w:tcBorders>
            <w:shd w:val="clear" w:color="auto" w:fill="auto"/>
          </w:tcPr>
          <w:p w14:paraId="063D2B96" w14:textId="77777777" w:rsidR="000A4214" w:rsidRDefault="00111391">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Јужнобачка област</w:t>
            </w:r>
          </w:p>
        </w:tc>
        <w:tc>
          <w:tcPr>
            <w:tcW w:w="1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DD2BC"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56,2</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A6DCE"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5,7</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36D40"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30,9</w:t>
            </w:r>
          </w:p>
        </w:tc>
        <w:tc>
          <w:tcPr>
            <w:tcW w:w="11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2FBED"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3,5</w:t>
            </w: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79E78" w14:textId="77777777" w:rsidR="000A4214" w:rsidRDefault="00111391">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3,6</w:t>
            </w:r>
          </w:p>
        </w:tc>
      </w:tr>
      <w:tr w:rsidR="000A4214" w14:paraId="3EC50ADE" w14:textId="77777777">
        <w:trPr>
          <w:jc w:val="center"/>
        </w:trPr>
        <w:tc>
          <w:tcPr>
            <w:tcW w:w="2124" w:type="dxa"/>
            <w:tcBorders>
              <w:top w:val="single" w:sz="4" w:space="0" w:color="000000"/>
              <w:left w:val="single" w:sz="4" w:space="0" w:color="000000"/>
              <w:bottom w:val="single" w:sz="4" w:space="0" w:color="000000"/>
              <w:right w:val="single" w:sz="4" w:space="0" w:color="000000"/>
            </w:tcBorders>
            <w:shd w:val="clear" w:color="auto" w:fill="DBE5F1"/>
          </w:tcPr>
          <w:p w14:paraId="589F0F99" w14:textId="77777777" w:rsidR="000A4214" w:rsidRDefault="00111391">
            <w:pPr>
              <w:widowControl w:val="0"/>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Врбас</w:t>
            </w:r>
          </w:p>
        </w:tc>
        <w:tc>
          <w:tcPr>
            <w:tcW w:w="140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92635A0"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63,3</w:t>
            </w:r>
          </w:p>
        </w:tc>
        <w:tc>
          <w:tcPr>
            <w:tcW w:w="154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9E41B2E"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2,9</w:t>
            </w:r>
          </w:p>
        </w:tc>
        <w:tc>
          <w:tcPr>
            <w:tcW w:w="155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EF3AEAB"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29,6</w:t>
            </w:r>
          </w:p>
        </w:tc>
        <w:tc>
          <w:tcPr>
            <w:tcW w:w="1167"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580B2CF"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3,1</w:t>
            </w:r>
          </w:p>
        </w:tc>
        <w:tc>
          <w:tcPr>
            <w:tcW w:w="1273"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5587D20" w14:textId="77777777" w:rsidR="000A4214" w:rsidRDefault="00111391">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1,1</w:t>
            </w:r>
          </w:p>
        </w:tc>
      </w:tr>
    </w:tbl>
    <w:p w14:paraId="283EC31D" w14:textId="77777777" w:rsidR="000A4214" w:rsidRDefault="00111391">
      <w:pPr>
        <w:spacing w:before="60" w:after="12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Извор:</w:t>
      </w:r>
      <w:r>
        <w:rPr>
          <w:rFonts w:ascii="Times New Roman" w:eastAsia="Times New Roman" w:hAnsi="Times New Roman" w:cs="Times New Roman"/>
          <w:i/>
          <w:sz w:val="20"/>
          <w:szCs w:val="20"/>
        </w:rPr>
        <w:t xml:space="preserve"> </w:t>
      </w:r>
      <w:r>
        <w:rPr>
          <w:rFonts w:ascii="Times New Roman" w:eastAsia="Times New Roman" w:hAnsi="Times New Roman" w:cs="Times New Roman"/>
          <w:i/>
          <w:iCs/>
          <w:sz w:val="20"/>
          <w:szCs w:val="20"/>
        </w:rPr>
        <w:t>Попис пољопривреде 2011/2012</w:t>
      </w:r>
      <w:r>
        <w:rPr>
          <w:rFonts w:ascii="Times New Roman" w:eastAsia="Times New Roman" w:hAnsi="Times New Roman" w:cs="Times New Roman"/>
          <w:sz w:val="20"/>
          <w:szCs w:val="20"/>
        </w:rPr>
        <w:t>, Књига I</w:t>
      </w:r>
      <w:r>
        <w:rPr>
          <w:rFonts w:ascii="Times New Roman" w:eastAsia="Times New Roman" w:hAnsi="Times New Roman" w:cs="Times New Roman"/>
          <w:i/>
          <w:sz w:val="20"/>
          <w:szCs w:val="20"/>
        </w:rPr>
        <w:t>.</w:t>
      </w:r>
    </w:p>
    <w:p w14:paraId="0ACFE88F"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 наводњавање се највише као извор воде користе подземне воде на газдинству, а од начина наводњавања је највише у употреби локално наводњавање </w:t>
      </w:r>
      <w:r>
        <w:rPr>
          <w:rFonts w:ascii="Times New Roman" w:eastAsia="Times New Roman" w:hAnsi="Times New Roman" w:cs="Times New Roman"/>
          <w:i/>
          <w:sz w:val="24"/>
          <w:szCs w:val="24"/>
        </w:rPr>
        <w:t>кап по кап</w:t>
      </w:r>
      <w:r>
        <w:rPr>
          <w:rFonts w:ascii="Times New Roman" w:eastAsia="Times New Roman" w:hAnsi="Times New Roman" w:cs="Times New Roman"/>
          <w:sz w:val="24"/>
          <w:szCs w:val="24"/>
        </w:rPr>
        <w:t>.</w:t>
      </w:r>
    </w:p>
    <w:p w14:paraId="65197231"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1.5. Шуме и шумско земљиште</w:t>
      </w:r>
    </w:p>
    <w:p w14:paraId="1C3E9D24"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Приоритетни задатак локалне управе у општини Врбас треба да буде подизaње шумских засада у циљу побољшања услова животне средине. Пољозаштитни и ветрозаштитни појасеви шума су такође важан фактор у санирању дејстава еолске ерозије којој је ово подручје изложено.</w:t>
      </w:r>
    </w:p>
    <w:p w14:paraId="291F31AA"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Шуме ове општине се састоје од мањих комплекса на територији водопривредног предузећа, пољопривредних добара и економија. Ширењем пољопривредних површина шуме су потиснуте. Шуме је могуће садити на пољопривредном земљишту лошијег квалитета, у депресијама. Врло важни су ветрозаштитни појасеви шума поред саобраћајница и уз канале. Постојећи распоред шума и ваншумског зеленила није добар јер нису повезани у систем. Да би ови заштитни појасеви шума имали значајнији утицај на пољопривредну производњу и заштиту животне средине, треба их плански и систематично подизати и на деловима пољопривредног земљишта слабијег квалитета, заслањеним земљиштима, око економских објеката и пољских економских путева. Упоредо са спровођењем мера за санацију оваквог лошег стања у погледу шума треба радити на едукацији локалног становништва. Важно је подизање свести о значају шума као еколошког фактора у заштити животне средине.</w:t>
      </w:r>
    </w:p>
    <w:p w14:paraId="2CC11A74" w14:textId="77777777" w:rsidR="000A4214" w:rsidRDefault="00111391">
      <w:pPr>
        <w:spacing w:before="240" w:after="24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 ПРИМАРНА ПОЉОПРИВРЕДНА ПРОИЗВОДЊА</w:t>
      </w:r>
    </w:p>
    <w:p w14:paraId="0720A9DD" w14:textId="77777777" w:rsidR="000A4214" w:rsidRDefault="00111391">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 Ратарска производња</w:t>
      </w:r>
    </w:p>
    <w:p w14:paraId="0B212EF9"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основу података </w:t>
      </w:r>
      <w:r>
        <w:rPr>
          <w:rFonts w:ascii="Times New Roman" w:eastAsia="Times New Roman" w:hAnsi="Times New Roman" w:cs="Times New Roman"/>
          <w:i/>
          <w:iCs/>
          <w:sz w:val="24"/>
          <w:szCs w:val="24"/>
        </w:rPr>
        <w:t>Пописа пољопривреде</w:t>
      </w:r>
      <w:r>
        <w:rPr>
          <w:rFonts w:ascii="Times New Roman" w:eastAsia="Times New Roman" w:hAnsi="Times New Roman" w:cs="Times New Roman"/>
          <w:sz w:val="24"/>
          <w:szCs w:val="24"/>
        </w:rPr>
        <w:t xml:space="preserve"> из 2012. године и </w:t>
      </w:r>
      <w:r>
        <w:rPr>
          <w:rFonts w:ascii="Times New Roman" w:eastAsia="Times New Roman" w:hAnsi="Times New Roman" w:cs="Times New Roman"/>
          <w:i/>
          <w:iCs/>
          <w:sz w:val="24"/>
          <w:szCs w:val="24"/>
        </w:rPr>
        <w:t>Анкете о структури пољопривредних газдинстава</w:t>
      </w:r>
      <w:r>
        <w:rPr>
          <w:rFonts w:ascii="Times New Roman" w:eastAsia="Times New Roman" w:hAnsi="Times New Roman" w:cs="Times New Roman"/>
          <w:sz w:val="24"/>
          <w:szCs w:val="24"/>
        </w:rPr>
        <w:t xml:space="preserve"> из 2018. године, у Табели 7. дат је преглед о структури ПГ у општини Врбас према категоријама земљишта значајних за ратарску производњу.</w:t>
      </w:r>
    </w:p>
    <w:p w14:paraId="1313B5F7"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2018. години забележено је смањење броја пољопривредних газдинстава у односу на 2012. годину, док је велична коришћеног пољопривредног земљишта била у порасту. Смањење броја ПГ и КПЗ је забележен код готово свих категорија на осталим нивоима посматрања. Изузетак је повећање површина под ораницама и баштама на нивоу Републике Србије за 2,32% и КПЗ за 1,12%.</w:t>
      </w:r>
    </w:p>
    <w:p w14:paraId="06716310" w14:textId="77777777" w:rsidR="00C06A21" w:rsidRDefault="00C06A21">
      <w:pPr>
        <w:spacing w:after="0" w:line="240" w:lineRule="auto"/>
        <w:jc w:val="both"/>
        <w:rPr>
          <w:rFonts w:ascii="Times New Roman" w:eastAsia="Times New Roman" w:hAnsi="Times New Roman" w:cs="Times New Roman"/>
          <w:b/>
          <w:sz w:val="24"/>
          <w:szCs w:val="24"/>
        </w:rPr>
      </w:pPr>
    </w:p>
    <w:p w14:paraId="511CA4E5" w14:textId="77777777" w:rsidR="00C06A21" w:rsidRDefault="00C06A21">
      <w:pPr>
        <w:spacing w:after="0" w:line="240" w:lineRule="auto"/>
        <w:jc w:val="both"/>
        <w:rPr>
          <w:rFonts w:ascii="Times New Roman" w:eastAsia="Times New Roman" w:hAnsi="Times New Roman" w:cs="Times New Roman"/>
          <w:b/>
          <w:sz w:val="24"/>
          <w:szCs w:val="24"/>
        </w:rPr>
      </w:pPr>
    </w:p>
    <w:p w14:paraId="2FEEFBDE" w14:textId="77777777" w:rsidR="00C06A21" w:rsidRDefault="00C06A21">
      <w:pPr>
        <w:spacing w:after="0" w:line="240" w:lineRule="auto"/>
        <w:jc w:val="both"/>
        <w:rPr>
          <w:rFonts w:ascii="Times New Roman" w:eastAsia="Times New Roman" w:hAnsi="Times New Roman" w:cs="Times New Roman"/>
          <w:b/>
          <w:sz w:val="24"/>
          <w:szCs w:val="24"/>
        </w:rPr>
      </w:pPr>
    </w:p>
    <w:p w14:paraId="286F1B4B" w14:textId="77777777" w:rsidR="00C06A21" w:rsidRDefault="00C06A21">
      <w:pPr>
        <w:spacing w:after="0" w:line="240" w:lineRule="auto"/>
        <w:jc w:val="both"/>
        <w:rPr>
          <w:rFonts w:ascii="Times New Roman" w:eastAsia="Times New Roman" w:hAnsi="Times New Roman" w:cs="Times New Roman"/>
          <w:b/>
          <w:sz w:val="24"/>
          <w:szCs w:val="24"/>
        </w:rPr>
      </w:pPr>
    </w:p>
    <w:p w14:paraId="6F26C587" w14:textId="77777777" w:rsidR="00C06A21" w:rsidRDefault="00C06A21">
      <w:pPr>
        <w:spacing w:after="0" w:line="240" w:lineRule="auto"/>
        <w:jc w:val="both"/>
        <w:rPr>
          <w:rFonts w:ascii="Times New Roman" w:eastAsia="Times New Roman" w:hAnsi="Times New Roman" w:cs="Times New Roman"/>
          <w:b/>
          <w:sz w:val="24"/>
          <w:szCs w:val="24"/>
        </w:rPr>
      </w:pPr>
    </w:p>
    <w:p w14:paraId="41C4418D" w14:textId="77777777" w:rsidR="00C06A21" w:rsidRDefault="00C06A21">
      <w:pPr>
        <w:spacing w:after="0" w:line="240" w:lineRule="auto"/>
        <w:jc w:val="both"/>
        <w:rPr>
          <w:rFonts w:ascii="Times New Roman" w:eastAsia="Times New Roman" w:hAnsi="Times New Roman" w:cs="Times New Roman"/>
          <w:b/>
          <w:sz w:val="24"/>
          <w:szCs w:val="24"/>
        </w:rPr>
      </w:pPr>
    </w:p>
    <w:p w14:paraId="76387E59" w14:textId="3D74B804" w:rsidR="000A4214" w:rsidRDefault="0011139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Табела 7. </w:t>
      </w:r>
      <w:r>
        <w:rPr>
          <w:rFonts w:ascii="Times New Roman" w:eastAsia="Times New Roman" w:hAnsi="Times New Roman" w:cs="Times New Roman"/>
          <w:sz w:val="24"/>
          <w:szCs w:val="24"/>
        </w:rPr>
        <w:t>Газдинства према величини коришћеног пољопривредног земљишта</w:t>
      </w:r>
    </w:p>
    <w:tbl>
      <w:tblPr>
        <w:tblW w:w="9009" w:type="dxa"/>
        <w:jc w:val="center"/>
        <w:tblLayout w:type="fixed"/>
        <w:tblLook w:val="0400" w:firstRow="0" w:lastRow="0" w:firstColumn="0" w:lastColumn="0" w:noHBand="0" w:noVBand="1"/>
      </w:tblPr>
      <w:tblGrid>
        <w:gridCol w:w="1482"/>
        <w:gridCol w:w="912"/>
        <w:gridCol w:w="799"/>
        <w:gridCol w:w="904"/>
        <w:gridCol w:w="798"/>
        <w:gridCol w:w="556"/>
        <w:gridCol w:w="804"/>
        <w:gridCol w:w="965"/>
        <w:gridCol w:w="8"/>
        <w:gridCol w:w="845"/>
        <w:gridCol w:w="936"/>
      </w:tblGrid>
      <w:tr w:rsidR="000A4214" w14:paraId="388FF416" w14:textId="77777777">
        <w:trPr>
          <w:jc w:val="center"/>
        </w:trPr>
        <w:tc>
          <w:tcPr>
            <w:tcW w:w="1481" w:type="dxa"/>
            <w:vMerge w:val="restart"/>
            <w:tcBorders>
              <w:top w:val="single" w:sz="4" w:space="0" w:color="000000"/>
              <w:left w:val="single" w:sz="4" w:space="0" w:color="000000"/>
              <w:bottom w:val="single" w:sz="4" w:space="0" w:color="000000"/>
              <w:right w:val="single" w:sz="4" w:space="0" w:color="000000"/>
            </w:tcBorders>
            <w:vAlign w:val="center"/>
          </w:tcPr>
          <w:p w14:paraId="70541052"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Опис</w:t>
            </w:r>
          </w:p>
        </w:tc>
        <w:tc>
          <w:tcPr>
            <w:tcW w:w="912" w:type="dxa"/>
            <w:vMerge w:val="restart"/>
            <w:tcBorders>
              <w:top w:val="single" w:sz="4" w:space="0" w:color="000000"/>
              <w:left w:val="single" w:sz="4" w:space="0" w:color="000000"/>
              <w:bottom w:val="single" w:sz="4" w:space="0" w:color="000000"/>
              <w:right w:val="single" w:sz="4" w:space="0" w:color="000000"/>
            </w:tcBorders>
            <w:vAlign w:val="center"/>
          </w:tcPr>
          <w:p w14:paraId="6402FA85"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Година</w:t>
            </w:r>
          </w:p>
        </w:tc>
        <w:tc>
          <w:tcPr>
            <w:tcW w:w="799" w:type="dxa"/>
            <w:vMerge w:val="restart"/>
            <w:tcBorders>
              <w:top w:val="single" w:sz="4" w:space="0" w:color="000000"/>
              <w:left w:val="single" w:sz="4" w:space="0" w:color="000000"/>
              <w:bottom w:val="single" w:sz="4" w:space="0" w:color="000000"/>
              <w:right w:val="single" w:sz="4" w:space="0" w:color="000000"/>
            </w:tcBorders>
            <w:vAlign w:val="center"/>
          </w:tcPr>
          <w:p w14:paraId="6151AD56"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ПГ**</w:t>
            </w:r>
          </w:p>
        </w:tc>
        <w:tc>
          <w:tcPr>
            <w:tcW w:w="904" w:type="dxa"/>
            <w:vMerge w:val="restart"/>
            <w:tcBorders>
              <w:top w:val="single" w:sz="4" w:space="0" w:color="000000"/>
              <w:left w:val="single" w:sz="4" w:space="0" w:color="000000"/>
              <w:bottom w:val="single" w:sz="4" w:space="0" w:color="000000"/>
              <w:right w:val="single" w:sz="4" w:space="0" w:color="000000"/>
            </w:tcBorders>
            <w:vAlign w:val="center"/>
          </w:tcPr>
          <w:p w14:paraId="1573A119"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КПЗ*</w:t>
            </w:r>
          </w:p>
        </w:tc>
        <w:tc>
          <w:tcPr>
            <w:tcW w:w="1354" w:type="dxa"/>
            <w:gridSpan w:val="2"/>
            <w:tcBorders>
              <w:top w:val="single" w:sz="4" w:space="0" w:color="000000"/>
              <w:left w:val="single" w:sz="4" w:space="0" w:color="000000"/>
              <w:bottom w:val="single" w:sz="4" w:space="0" w:color="000000"/>
              <w:right w:val="single" w:sz="4" w:space="0" w:color="000000"/>
            </w:tcBorders>
            <w:vAlign w:val="center"/>
          </w:tcPr>
          <w:p w14:paraId="0FF8024B"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Окућница</w:t>
            </w:r>
          </w:p>
        </w:tc>
        <w:tc>
          <w:tcPr>
            <w:tcW w:w="1777" w:type="dxa"/>
            <w:gridSpan w:val="3"/>
            <w:tcBorders>
              <w:top w:val="single" w:sz="4" w:space="0" w:color="000000"/>
              <w:left w:val="single" w:sz="4" w:space="0" w:color="000000"/>
              <w:bottom w:val="single" w:sz="4" w:space="0" w:color="000000"/>
              <w:right w:val="single" w:sz="4" w:space="0" w:color="000000"/>
            </w:tcBorders>
            <w:vAlign w:val="center"/>
          </w:tcPr>
          <w:p w14:paraId="387CB24A"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Оранице и баште</w:t>
            </w:r>
          </w:p>
        </w:tc>
        <w:tc>
          <w:tcPr>
            <w:tcW w:w="1781" w:type="dxa"/>
            <w:gridSpan w:val="2"/>
            <w:tcBorders>
              <w:top w:val="single" w:sz="4" w:space="0" w:color="000000"/>
              <w:left w:val="single" w:sz="4" w:space="0" w:color="000000"/>
              <w:bottom w:val="single" w:sz="4" w:space="0" w:color="000000"/>
              <w:right w:val="single" w:sz="4" w:space="0" w:color="000000"/>
            </w:tcBorders>
            <w:vAlign w:val="center"/>
          </w:tcPr>
          <w:p w14:paraId="22D09FD2"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Ливаде и пашњаци</w:t>
            </w:r>
          </w:p>
        </w:tc>
      </w:tr>
      <w:tr w:rsidR="000A4214" w14:paraId="668A3566" w14:textId="77777777">
        <w:trPr>
          <w:trHeight w:val="101"/>
          <w:jc w:val="center"/>
        </w:trPr>
        <w:tc>
          <w:tcPr>
            <w:tcW w:w="1481" w:type="dxa"/>
            <w:vMerge/>
            <w:tcBorders>
              <w:top w:val="single" w:sz="4" w:space="0" w:color="000000"/>
              <w:left w:val="single" w:sz="4" w:space="0" w:color="000000"/>
              <w:bottom w:val="single" w:sz="4" w:space="0" w:color="000000"/>
              <w:right w:val="single" w:sz="4" w:space="0" w:color="000000"/>
            </w:tcBorders>
            <w:vAlign w:val="center"/>
          </w:tcPr>
          <w:p w14:paraId="0593BDB2" w14:textId="77777777" w:rsidR="000A4214" w:rsidRDefault="000A4214">
            <w:pPr>
              <w:widowControl w:val="0"/>
              <w:rPr>
                <w:rFonts w:ascii="Times New Roman" w:eastAsia="Times New Roman" w:hAnsi="Times New Roman" w:cs="Times New Roman"/>
                <w:b/>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14:paraId="0FE11701" w14:textId="77777777" w:rsidR="000A4214" w:rsidRDefault="000A4214">
            <w:pPr>
              <w:widowControl w:val="0"/>
              <w:rPr>
                <w:rFonts w:ascii="Times New Roman" w:eastAsia="Times New Roman" w:hAnsi="Times New Roman" w:cs="Times New Roman"/>
                <w:b/>
              </w:rPr>
            </w:pPr>
          </w:p>
        </w:tc>
        <w:tc>
          <w:tcPr>
            <w:tcW w:w="799" w:type="dxa"/>
            <w:vMerge/>
            <w:tcBorders>
              <w:top w:val="single" w:sz="4" w:space="0" w:color="000000"/>
              <w:left w:val="single" w:sz="4" w:space="0" w:color="000000"/>
              <w:bottom w:val="single" w:sz="4" w:space="0" w:color="000000"/>
              <w:right w:val="single" w:sz="4" w:space="0" w:color="000000"/>
            </w:tcBorders>
            <w:vAlign w:val="center"/>
          </w:tcPr>
          <w:p w14:paraId="493C43D3" w14:textId="77777777" w:rsidR="000A4214" w:rsidRDefault="000A4214">
            <w:pPr>
              <w:widowControl w:val="0"/>
              <w:rPr>
                <w:rFonts w:ascii="Times New Roman" w:eastAsia="Times New Roman" w:hAnsi="Times New Roman" w:cs="Times New Roman"/>
                <w:b/>
              </w:rPr>
            </w:pPr>
          </w:p>
        </w:tc>
        <w:tc>
          <w:tcPr>
            <w:tcW w:w="904" w:type="dxa"/>
            <w:vMerge/>
            <w:tcBorders>
              <w:top w:val="single" w:sz="4" w:space="0" w:color="000000"/>
              <w:left w:val="single" w:sz="4" w:space="0" w:color="000000"/>
              <w:bottom w:val="single" w:sz="4" w:space="0" w:color="000000"/>
              <w:right w:val="single" w:sz="4" w:space="0" w:color="000000"/>
            </w:tcBorders>
            <w:vAlign w:val="center"/>
          </w:tcPr>
          <w:p w14:paraId="2802D3EA" w14:textId="77777777" w:rsidR="000A4214" w:rsidRDefault="000A4214">
            <w:pPr>
              <w:widowControl w:val="0"/>
              <w:rPr>
                <w:rFonts w:ascii="Times New Roman" w:eastAsia="Times New Roman" w:hAnsi="Times New Roman" w:cs="Times New Roman"/>
                <w:b/>
              </w:rPr>
            </w:pPr>
          </w:p>
        </w:tc>
        <w:tc>
          <w:tcPr>
            <w:tcW w:w="798" w:type="dxa"/>
            <w:tcBorders>
              <w:top w:val="single" w:sz="4" w:space="0" w:color="000000"/>
              <w:left w:val="single" w:sz="4" w:space="0" w:color="000000"/>
              <w:bottom w:val="single" w:sz="4" w:space="0" w:color="000000"/>
              <w:right w:val="single" w:sz="4" w:space="0" w:color="000000"/>
            </w:tcBorders>
            <w:vAlign w:val="center"/>
          </w:tcPr>
          <w:p w14:paraId="0F887ED1"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ПГ</w:t>
            </w:r>
          </w:p>
        </w:tc>
        <w:tc>
          <w:tcPr>
            <w:tcW w:w="556" w:type="dxa"/>
            <w:tcBorders>
              <w:top w:val="single" w:sz="4" w:space="0" w:color="000000"/>
              <w:left w:val="single" w:sz="4" w:space="0" w:color="000000"/>
              <w:bottom w:val="single" w:sz="4" w:space="0" w:color="000000"/>
              <w:right w:val="single" w:sz="4" w:space="0" w:color="000000"/>
            </w:tcBorders>
            <w:vAlign w:val="center"/>
          </w:tcPr>
          <w:p w14:paraId="0275E45B"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хa</w:t>
            </w:r>
          </w:p>
        </w:tc>
        <w:tc>
          <w:tcPr>
            <w:tcW w:w="804" w:type="dxa"/>
            <w:tcBorders>
              <w:top w:val="single" w:sz="4" w:space="0" w:color="000000"/>
              <w:left w:val="single" w:sz="4" w:space="0" w:color="000000"/>
              <w:bottom w:val="single" w:sz="4" w:space="0" w:color="000000"/>
              <w:right w:val="single" w:sz="4" w:space="0" w:color="000000"/>
            </w:tcBorders>
            <w:vAlign w:val="center"/>
          </w:tcPr>
          <w:p w14:paraId="7FC63505"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ПГ</w:t>
            </w:r>
          </w:p>
        </w:tc>
        <w:tc>
          <w:tcPr>
            <w:tcW w:w="965" w:type="dxa"/>
            <w:tcBorders>
              <w:top w:val="single" w:sz="4" w:space="0" w:color="000000"/>
              <w:left w:val="single" w:sz="4" w:space="0" w:color="000000"/>
              <w:bottom w:val="single" w:sz="4" w:space="0" w:color="000000"/>
              <w:right w:val="single" w:sz="4" w:space="0" w:color="000000"/>
            </w:tcBorders>
            <w:vAlign w:val="center"/>
          </w:tcPr>
          <w:p w14:paraId="71ED0956"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хa</w:t>
            </w:r>
          </w:p>
        </w:tc>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2D8C1736"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ПГ</w:t>
            </w:r>
          </w:p>
        </w:tc>
        <w:tc>
          <w:tcPr>
            <w:tcW w:w="936" w:type="dxa"/>
            <w:tcBorders>
              <w:top w:val="single" w:sz="4" w:space="0" w:color="000000"/>
              <w:left w:val="single" w:sz="4" w:space="0" w:color="000000"/>
              <w:bottom w:val="single" w:sz="4" w:space="0" w:color="000000"/>
              <w:right w:val="single" w:sz="4" w:space="0" w:color="000000"/>
            </w:tcBorders>
            <w:vAlign w:val="center"/>
          </w:tcPr>
          <w:p w14:paraId="72634CE7"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хa</w:t>
            </w:r>
          </w:p>
        </w:tc>
      </w:tr>
      <w:tr w:rsidR="000A4214" w14:paraId="592AEAEC" w14:textId="77777777">
        <w:trPr>
          <w:trHeight w:val="194"/>
          <w:jc w:val="center"/>
        </w:trPr>
        <w:tc>
          <w:tcPr>
            <w:tcW w:w="1481" w:type="dxa"/>
            <w:vMerge w:val="restart"/>
            <w:tcBorders>
              <w:top w:val="single" w:sz="4" w:space="0" w:color="000000"/>
              <w:left w:val="single" w:sz="4" w:space="0" w:color="000000"/>
              <w:bottom w:val="single" w:sz="4" w:space="0" w:color="000000"/>
              <w:right w:val="single" w:sz="4" w:space="0" w:color="000000"/>
            </w:tcBorders>
            <w:vAlign w:val="center"/>
          </w:tcPr>
          <w:p w14:paraId="5F2F7114"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Р. Србија</w:t>
            </w:r>
          </w:p>
        </w:tc>
        <w:tc>
          <w:tcPr>
            <w:tcW w:w="912" w:type="dxa"/>
            <w:tcBorders>
              <w:top w:val="single" w:sz="4" w:space="0" w:color="000000"/>
              <w:left w:val="single" w:sz="4" w:space="0" w:color="000000"/>
              <w:bottom w:val="single" w:sz="4" w:space="0" w:color="000000"/>
              <w:right w:val="single" w:sz="4" w:space="0" w:color="000000"/>
            </w:tcBorders>
            <w:vAlign w:val="center"/>
          </w:tcPr>
          <w:p w14:paraId="3A12031A"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2012.</w:t>
            </w:r>
          </w:p>
        </w:tc>
        <w:tc>
          <w:tcPr>
            <w:tcW w:w="799" w:type="dxa"/>
            <w:tcBorders>
              <w:top w:val="single" w:sz="4" w:space="0" w:color="000000"/>
              <w:left w:val="single" w:sz="4" w:space="0" w:color="000000"/>
              <w:bottom w:val="single" w:sz="4" w:space="0" w:color="000000"/>
              <w:right w:val="single" w:sz="4" w:space="0" w:color="000000"/>
            </w:tcBorders>
            <w:vAlign w:val="center"/>
          </w:tcPr>
          <w:p w14:paraId="600DD96E"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631 552</w:t>
            </w:r>
          </w:p>
        </w:tc>
        <w:tc>
          <w:tcPr>
            <w:tcW w:w="904" w:type="dxa"/>
            <w:tcBorders>
              <w:top w:val="single" w:sz="4" w:space="0" w:color="000000"/>
              <w:left w:val="single" w:sz="4" w:space="0" w:color="000000"/>
              <w:bottom w:val="single" w:sz="4" w:space="0" w:color="000000"/>
              <w:right w:val="single" w:sz="4" w:space="0" w:color="000000"/>
            </w:tcBorders>
            <w:vAlign w:val="center"/>
          </w:tcPr>
          <w:p w14:paraId="0E5B3AC3"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3 437 423</w:t>
            </w:r>
          </w:p>
        </w:tc>
        <w:tc>
          <w:tcPr>
            <w:tcW w:w="798" w:type="dxa"/>
            <w:tcBorders>
              <w:top w:val="single" w:sz="4" w:space="0" w:color="000000"/>
              <w:left w:val="single" w:sz="4" w:space="0" w:color="000000"/>
              <w:bottom w:val="single" w:sz="4" w:space="0" w:color="000000"/>
              <w:right w:val="single" w:sz="4" w:space="0" w:color="000000"/>
            </w:tcBorders>
            <w:vAlign w:val="center"/>
          </w:tcPr>
          <w:p w14:paraId="5CEA1099"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331 145</w:t>
            </w:r>
          </w:p>
        </w:tc>
        <w:tc>
          <w:tcPr>
            <w:tcW w:w="556" w:type="dxa"/>
            <w:tcBorders>
              <w:top w:val="single" w:sz="4" w:space="0" w:color="000000"/>
              <w:left w:val="single" w:sz="4" w:space="0" w:color="000000"/>
              <w:bottom w:val="single" w:sz="4" w:space="0" w:color="000000"/>
              <w:right w:val="single" w:sz="4" w:space="0" w:color="000000"/>
            </w:tcBorders>
            <w:vAlign w:val="center"/>
          </w:tcPr>
          <w:p w14:paraId="1A8B9B8B"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23 727</w:t>
            </w:r>
          </w:p>
        </w:tc>
        <w:tc>
          <w:tcPr>
            <w:tcW w:w="804" w:type="dxa"/>
            <w:tcBorders>
              <w:top w:val="single" w:sz="4" w:space="0" w:color="000000"/>
              <w:left w:val="single" w:sz="4" w:space="0" w:color="000000"/>
              <w:bottom w:val="single" w:sz="4" w:space="0" w:color="000000"/>
              <w:right w:val="single" w:sz="4" w:space="0" w:color="000000"/>
            </w:tcBorders>
            <w:vAlign w:val="center"/>
          </w:tcPr>
          <w:p w14:paraId="78DAF4CA"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519 446</w:t>
            </w:r>
          </w:p>
        </w:tc>
        <w:tc>
          <w:tcPr>
            <w:tcW w:w="965" w:type="dxa"/>
            <w:tcBorders>
              <w:top w:val="single" w:sz="4" w:space="0" w:color="000000"/>
              <w:left w:val="single" w:sz="4" w:space="0" w:color="000000"/>
              <w:bottom w:val="single" w:sz="4" w:space="0" w:color="000000"/>
              <w:right w:val="single" w:sz="4" w:space="0" w:color="000000"/>
            </w:tcBorders>
            <w:vAlign w:val="center"/>
          </w:tcPr>
          <w:p w14:paraId="02EDECA9" w14:textId="77777777" w:rsidR="000A4214" w:rsidRDefault="00111391">
            <w:pPr>
              <w:widowControl w:val="0"/>
              <w:ind w:left="-117" w:right="-117"/>
              <w:rPr>
                <w:rFonts w:ascii="Times New Roman" w:eastAsia="Times New Roman" w:hAnsi="Times New Roman" w:cs="Times New Roman"/>
              </w:rPr>
            </w:pPr>
            <w:r>
              <w:rPr>
                <w:rFonts w:ascii="Times New Roman" w:eastAsia="Times New Roman" w:hAnsi="Times New Roman" w:cs="Times New Roman"/>
              </w:rPr>
              <w:t xml:space="preserve">  2 513 154</w:t>
            </w:r>
          </w:p>
        </w:tc>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7C9CCBDC"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266 813</w:t>
            </w:r>
          </w:p>
        </w:tc>
        <w:tc>
          <w:tcPr>
            <w:tcW w:w="936" w:type="dxa"/>
            <w:tcBorders>
              <w:top w:val="single" w:sz="4" w:space="0" w:color="000000"/>
              <w:left w:val="single" w:sz="4" w:space="0" w:color="000000"/>
              <w:bottom w:val="single" w:sz="4" w:space="0" w:color="000000"/>
              <w:right w:val="single" w:sz="4" w:space="0" w:color="000000"/>
            </w:tcBorders>
            <w:vAlign w:val="center"/>
          </w:tcPr>
          <w:p w14:paraId="2645A72B"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713 242</w:t>
            </w:r>
          </w:p>
        </w:tc>
      </w:tr>
      <w:tr w:rsidR="000A4214" w14:paraId="6856698B" w14:textId="77777777">
        <w:trPr>
          <w:jc w:val="center"/>
        </w:trPr>
        <w:tc>
          <w:tcPr>
            <w:tcW w:w="1481" w:type="dxa"/>
            <w:vMerge/>
            <w:tcBorders>
              <w:top w:val="single" w:sz="4" w:space="0" w:color="000000"/>
              <w:left w:val="single" w:sz="4" w:space="0" w:color="000000"/>
              <w:bottom w:val="single" w:sz="4" w:space="0" w:color="000000"/>
              <w:right w:val="single" w:sz="4" w:space="0" w:color="000000"/>
            </w:tcBorders>
            <w:vAlign w:val="center"/>
          </w:tcPr>
          <w:p w14:paraId="5E833274" w14:textId="77777777" w:rsidR="000A4214" w:rsidRDefault="000A4214">
            <w:pPr>
              <w:widowControl w:val="0"/>
              <w:rPr>
                <w:rFonts w:ascii="Times New Roman" w:eastAsia="Times New Roman" w:hAnsi="Times New Roman" w:cs="Times New Roman"/>
              </w:rPr>
            </w:pPr>
          </w:p>
        </w:tc>
        <w:tc>
          <w:tcPr>
            <w:tcW w:w="912" w:type="dxa"/>
            <w:tcBorders>
              <w:top w:val="single" w:sz="4" w:space="0" w:color="000000"/>
              <w:left w:val="single" w:sz="4" w:space="0" w:color="000000"/>
              <w:bottom w:val="single" w:sz="4" w:space="0" w:color="000000"/>
              <w:right w:val="single" w:sz="4" w:space="0" w:color="000000"/>
            </w:tcBorders>
            <w:vAlign w:val="center"/>
          </w:tcPr>
          <w:p w14:paraId="6A337A5C"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2018.</w:t>
            </w:r>
          </w:p>
        </w:tc>
        <w:tc>
          <w:tcPr>
            <w:tcW w:w="799" w:type="dxa"/>
            <w:tcBorders>
              <w:top w:val="single" w:sz="4" w:space="0" w:color="000000"/>
              <w:left w:val="single" w:sz="4" w:space="0" w:color="000000"/>
              <w:bottom w:val="single" w:sz="4" w:space="0" w:color="000000"/>
              <w:right w:val="single" w:sz="4" w:space="0" w:color="000000"/>
            </w:tcBorders>
            <w:vAlign w:val="center"/>
          </w:tcPr>
          <w:p w14:paraId="53E9FCAE"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564 541</w:t>
            </w:r>
          </w:p>
        </w:tc>
        <w:tc>
          <w:tcPr>
            <w:tcW w:w="904" w:type="dxa"/>
            <w:tcBorders>
              <w:top w:val="single" w:sz="4" w:space="0" w:color="000000"/>
              <w:left w:val="single" w:sz="4" w:space="0" w:color="000000"/>
              <w:bottom w:val="single" w:sz="4" w:space="0" w:color="000000"/>
              <w:right w:val="single" w:sz="4" w:space="0" w:color="000000"/>
            </w:tcBorders>
            <w:vAlign w:val="center"/>
          </w:tcPr>
          <w:p w14:paraId="528F7035"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3475894</w:t>
            </w:r>
          </w:p>
        </w:tc>
        <w:tc>
          <w:tcPr>
            <w:tcW w:w="798" w:type="dxa"/>
            <w:tcBorders>
              <w:top w:val="single" w:sz="4" w:space="0" w:color="000000"/>
              <w:left w:val="single" w:sz="4" w:space="0" w:color="000000"/>
              <w:bottom w:val="single" w:sz="4" w:space="0" w:color="000000"/>
              <w:right w:val="single" w:sz="4" w:space="0" w:color="000000"/>
            </w:tcBorders>
            <w:vAlign w:val="center"/>
          </w:tcPr>
          <w:p w14:paraId="63D088A7"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356 360</w:t>
            </w:r>
          </w:p>
        </w:tc>
        <w:tc>
          <w:tcPr>
            <w:tcW w:w="556" w:type="dxa"/>
            <w:tcBorders>
              <w:top w:val="single" w:sz="4" w:space="0" w:color="000000"/>
              <w:left w:val="single" w:sz="4" w:space="0" w:color="000000"/>
              <w:bottom w:val="single" w:sz="4" w:space="0" w:color="000000"/>
              <w:right w:val="single" w:sz="4" w:space="0" w:color="000000"/>
            </w:tcBorders>
            <w:vAlign w:val="center"/>
          </w:tcPr>
          <w:p w14:paraId="521761FB"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22 126</w:t>
            </w:r>
          </w:p>
        </w:tc>
        <w:tc>
          <w:tcPr>
            <w:tcW w:w="804" w:type="dxa"/>
            <w:tcBorders>
              <w:top w:val="single" w:sz="4" w:space="0" w:color="000000"/>
              <w:left w:val="single" w:sz="4" w:space="0" w:color="000000"/>
              <w:bottom w:val="single" w:sz="4" w:space="0" w:color="000000"/>
              <w:right w:val="single" w:sz="4" w:space="0" w:color="000000"/>
            </w:tcBorders>
            <w:vAlign w:val="center"/>
          </w:tcPr>
          <w:p w14:paraId="6616C8ED"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491 125</w:t>
            </w:r>
          </w:p>
        </w:tc>
        <w:tc>
          <w:tcPr>
            <w:tcW w:w="965" w:type="dxa"/>
            <w:tcBorders>
              <w:top w:val="single" w:sz="4" w:space="0" w:color="000000"/>
              <w:left w:val="single" w:sz="4" w:space="0" w:color="000000"/>
              <w:bottom w:val="single" w:sz="4" w:space="0" w:color="000000"/>
              <w:right w:val="single" w:sz="4" w:space="0" w:color="000000"/>
            </w:tcBorders>
            <w:vAlign w:val="center"/>
          </w:tcPr>
          <w:p w14:paraId="132717C6"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2 571 580</w:t>
            </w:r>
          </w:p>
        </w:tc>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DC7BB14"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246 774</w:t>
            </w:r>
          </w:p>
        </w:tc>
        <w:tc>
          <w:tcPr>
            <w:tcW w:w="936" w:type="dxa"/>
            <w:tcBorders>
              <w:top w:val="single" w:sz="4" w:space="0" w:color="000000"/>
              <w:left w:val="single" w:sz="4" w:space="0" w:color="000000"/>
              <w:bottom w:val="single" w:sz="4" w:space="0" w:color="000000"/>
              <w:right w:val="single" w:sz="4" w:space="0" w:color="000000"/>
            </w:tcBorders>
            <w:vAlign w:val="center"/>
          </w:tcPr>
          <w:p w14:paraId="5260D84A"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676724</w:t>
            </w:r>
          </w:p>
        </w:tc>
      </w:tr>
      <w:tr w:rsidR="000A4214" w14:paraId="6DFB9BDB" w14:textId="77777777">
        <w:trPr>
          <w:jc w:val="center"/>
        </w:trPr>
        <w:tc>
          <w:tcPr>
            <w:tcW w:w="1481" w:type="dxa"/>
            <w:vMerge w:val="restart"/>
            <w:tcBorders>
              <w:top w:val="single" w:sz="4" w:space="0" w:color="000000"/>
              <w:left w:val="single" w:sz="4" w:space="0" w:color="000000"/>
              <w:bottom w:val="single" w:sz="4" w:space="0" w:color="000000"/>
              <w:right w:val="single" w:sz="4" w:space="0" w:color="000000"/>
            </w:tcBorders>
            <w:vAlign w:val="center"/>
          </w:tcPr>
          <w:p w14:paraId="561BF175"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Регион Војводине</w:t>
            </w:r>
          </w:p>
        </w:tc>
        <w:tc>
          <w:tcPr>
            <w:tcW w:w="912" w:type="dxa"/>
            <w:tcBorders>
              <w:top w:val="single" w:sz="4" w:space="0" w:color="000000"/>
              <w:left w:val="single" w:sz="4" w:space="0" w:color="000000"/>
              <w:bottom w:val="single" w:sz="4" w:space="0" w:color="000000"/>
              <w:right w:val="single" w:sz="4" w:space="0" w:color="000000"/>
            </w:tcBorders>
            <w:vAlign w:val="center"/>
          </w:tcPr>
          <w:p w14:paraId="090AE7EE"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2012.</w:t>
            </w:r>
          </w:p>
        </w:tc>
        <w:tc>
          <w:tcPr>
            <w:tcW w:w="799" w:type="dxa"/>
            <w:tcBorders>
              <w:top w:val="single" w:sz="4" w:space="0" w:color="000000"/>
              <w:left w:val="single" w:sz="4" w:space="0" w:color="000000"/>
              <w:bottom w:val="single" w:sz="4" w:space="0" w:color="000000"/>
              <w:right w:val="single" w:sz="4" w:space="0" w:color="000000"/>
            </w:tcBorders>
            <w:vAlign w:val="center"/>
          </w:tcPr>
          <w:p w14:paraId="02704173"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147 624</w:t>
            </w:r>
          </w:p>
        </w:tc>
        <w:tc>
          <w:tcPr>
            <w:tcW w:w="904" w:type="dxa"/>
            <w:tcBorders>
              <w:top w:val="single" w:sz="4" w:space="0" w:color="000000"/>
              <w:left w:val="single" w:sz="4" w:space="0" w:color="000000"/>
              <w:bottom w:val="single" w:sz="4" w:space="0" w:color="000000"/>
              <w:right w:val="single" w:sz="4" w:space="0" w:color="000000"/>
            </w:tcBorders>
            <w:vAlign w:val="center"/>
          </w:tcPr>
          <w:p w14:paraId="278B7DCB"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1 608 896</w:t>
            </w:r>
          </w:p>
        </w:tc>
        <w:tc>
          <w:tcPr>
            <w:tcW w:w="798" w:type="dxa"/>
            <w:tcBorders>
              <w:top w:val="single" w:sz="4" w:space="0" w:color="000000"/>
              <w:left w:val="single" w:sz="4" w:space="0" w:color="000000"/>
              <w:bottom w:val="single" w:sz="4" w:space="0" w:color="000000"/>
              <w:right w:val="single" w:sz="4" w:space="0" w:color="000000"/>
            </w:tcBorders>
            <w:vAlign w:val="center"/>
          </w:tcPr>
          <w:p w14:paraId="2D65A440"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84 693</w:t>
            </w:r>
          </w:p>
        </w:tc>
        <w:tc>
          <w:tcPr>
            <w:tcW w:w="556" w:type="dxa"/>
            <w:tcBorders>
              <w:top w:val="single" w:sz="4" w:space="0" w:color="000000"/>
              <w:left w:val="single" w:sz="4" w:space="0" w:color="000000"/>
              <w:bottom w:val="single" w:sz="4" w:space="0" w:color="000000"/>
              <w:right w:val="single" w:sz="4" w:space="0" w:color="000000"/>
            </w:tcBorders>
            <w:vAlign w:val="center"/>
          </w:tcPr>
          <w:p w14:paraId="2F5AEB04"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5 747</w:t>
            </w:r>
          </w:p>
        </w:tc>
        <w:tc>
          <w:tcPr>
            <w:tcW w:w="804" w:type="dxa"/>
            <w:tcBorders>
              <w:top w:val="single" w:sz="4" w:space="0" w:color="000000"/>
              <w:left w:val="single" w:sz="4" w:space="0" w:color="000000"/>
              <w:bottom w:val="single" w:sz="4" w:space="0" w:color="000000"/>
              <w:right w:val="single" w:sz="4" w:space="0" w:color="000000"/>
            </w:tcBorders>
            <w:vAlign w:val="center"/>
          </w:tcPr>
          <w:p w14:paraId="4DF6C208"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118 052</w:t>
            </w:r>
          </w:p>
        </w:tc>
        <w:tc>
          <w:tcPr>
            <w:tcW w:w="965" w:type="dxa"/>
            <w:tcBorders>
              <w:top w:val="single" w:sz="4" w:space="0" w:color="000000"/>
              <w:left w:val="single" w:sz="4" w:space="0" w:color="000000"/>
              <w:bottom w:val="single" w:sz="4" w:space="0" w:color="000000"/>
              <w:right w:val="single" w:sz="4" w:space="0" w:color="000000"/>
            </w:tcBorders>
            <w:vAlign w:val="center"/>
          </w:tcPr>
          <w:p w14:paraId="0E7E94FC"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1 466 176</w:t>
            </w:r>
          </w:p>
        </w:tc>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2926467D"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4 335</w:t>
            </w:r>
          </w:p>
        </w:tc>
        <w:tc>
          <w:tcPr>
            <w:tcW w:w="936" w:type="dxa"/>
            <w:tcBorders>
              <w:top w:val="single" w:sz="4" w:space="0" w:color="000000"/>
              <w:left w:val="single" w:sz="4" w:space="0" w:color="000000"/>
              <w:bottom w:val="single" w:sz="4" w:space="0" w:color="000000"/>
              <w:right w:val="single" w:sz="4" w:space="0" w:color="000000"/>
            </w:tcBorders>
            <w:vAlign w:val="center"/>
          </w:tcPr>
          <w:p w14:paraId="3C6AF311"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114 638</w:t>
            </w:r>
          </w:p>
        </w:tc>
      </w:tr>
      <w:tr w:rsidR="000A4214" w14:paraId="49676FE7" w14:textId="77777777">
        <w:trPr>
          <w:jc w:val="center"/>
        </w:trPr>
        <w:tc>
          <w:tcPr>
            <w:tcW w:w="1481" w:type="dxa"/>
            <w:vMerge/>
            <w:tcBorders>
              <w:top w:val="single" w:sz="4" w:space="0" w:color="000000"/>
              <w:left w:val="single" w:sz="4" w:space="0" w:color="000000"/>
              <w:bottom w:val="single" w:sz="4" w:space="0" w:color="000000"/>
              <w:right w:val="single" w:sz="4" w:space="0" w:color="000000"/>
            </w:tcBorders>
            <w:vAlign w:val="center"/>
          </w:tcPr>
          <w:p w14:paraId="689701BD" w14:textId="77777777" w:rsidR="000A4214" w:rsidRDefault="000A4214">
            <w:pPr>
              <w:widowControl w:val="0"/>
              <w:rPr>
                <w:rFonts w:ascii="Times New Roman" w:eastAsia="Times New Roman" w:hAnsi="Times New Roman" w:cs="Times New Roman"/>
              </w:rPr>
            </w:pPr>
          </w:p>
        </w:tc>
        <w:tc>
          <w:tcPr>
            <w:tcW w:w="912" w:type="dxa"/>
            <w:tcBorders>
              <w:top w:val="single" w:sz="4" w:space="0" w:color="000000"/>
              <w:left w:val="single" w:sz="4" w:space="0" w:color="000000"/>
              <w:bottom w:val="single" w:sz="4" w:space="0" w:color="000000"/>
              <w:right w:val="single" w:sz="4" w:space="0" w:color="000000"/>
            </w:tcBorders>
            <w:vAlign w:val="center"/>
          </w:tcPr>
          <w:p w14:paraId="042AA022"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2018.</w:t>
            </w:r>
          </w:p>
        </w:tc>
        <w:tc>
          <w:tcPr>
            <w:tcW w:w="799" w:type="dxa"/>
            <w:tcBorders>
              <w:top w:val="single" w:sz="4" w:space="0" w:color="000000"/>
              <w:left w:val="single" w:sz="4" w:space="0" w:color="000000"/>
              <w:bottom w:val="single" w:sz="4" w:space="0" w:color="000000"/>
              <w:right w:val="single" w:sz="4" w:space="0" w:color="000000"/>
            </w:tcBorders>
            <w:vAlign w:val="center"/>
          </w:tcPr>
          <w:p w14:paraId="724DDE1D"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127 070</w:t>
            </w:r>
          </w:p>
        </w:tc>
        <w:tc>
          <w:tcPr>
            <w:tcW w:w="904" w:type="dxa"/>
            <w:tcBorders>
              <w:top w:val="single" w:sz="4" w:space="0" w:color="000000"/>
              <w:left w:val="single" w:sz="4" w:space="0" w:color="000000"/>
              <w:bottom w:val="single" w:sz="4" w:space="0" w:color="000000"/>
              <w:right w:val="single" w:sz="4" w:space="0" w:color="000000"/>
            </w:tcBorders>
            <w:vAlign w:val="center"/>
          </w:tcPr>
          <w:p w14:paraId="304EED5B"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1574366</w:t>
            </w:r>
          </w:p>
        </w:tc>
        <w:tc>
          <w:tcPr>
            <w:tcW w:w="798" w:type="dxa"/>
            <w:tcBorders>
              <w:top w:val="single" w:sz="4" w:space="0" w:color="000000"/>
              <w:left w:val="single" w:sz="4" w:space="0" w:color="000000"/>
              <w:bottom w:val="single" w:sz="4" w:space="0" w:color="000000"/>
              <w:right w:val="single" w:sz="4" w:space="0" w:color="000000"/>
            </w:tcBorders>
            <w:vAlign w:val="center"/>
          </w:tcPr>
          <w:p w14:paraId="5EF48869"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61 601</w:t>
            </w:r>
          </w:p>
        </w:tc>
        <w:tc>
          <w:tcPr>
            <w:tcW w:w="556" w:type="dxa"/>
            <w:tcBorders>
              <w:top w:val="single" w:sz="4" w:space="0" w:color="000000"/>
              <w:left w:val="single" w:sz="4" w:space="0" w:color="000000"/>
              <w:bottom w:val="single" w:sz="4" w:space="0" w:color="000000"/>
              <w:right w:val="single" w:sz="4" w:space="0" w:color="000000"/>
            </w:tcBorders>
            <w:vAlign w:val="center"/>
          </w:tcPr>
          <w:p w14:paraId="66220181"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3 497</w:t>
            </w:r>
          </w:p>
        </w:tc>
        <w:tc>
          <w:tcPr>
            <w:tcW w:w="804" w:type="dxa"/>
            <w:tcBorders>
              <w:top w:val="single" w:sz="4" w:space="0" w:color="000000"/>
              <w:left w:val="single" w:sz="4" w:space="0" w:color="000000"/>
              <w:bottom w:val="single" w:sz="4" w:space="0" w:color="000000"/>
              <w:right w:val="single" w:sz="4" w:space="0" w:color="000000"/>
            </w:tcBorders>
            <w:vAlign w:val="center"/>
          </w:tcPr>
          <w:p w14:paraId="41A09824"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112 876</w:t>
            </w:r>
          </w:p>
        </w:tc>
        <w:tc>
          <w:tcPr>
            <w:tcW w:w="965" w:type="dxa"/>
            <w:tcBorders>
              <w:top w:val="single" w:sz="4" w:space="0" w:color="000000"/>
              <w:left w:val="single" w:sz="4" w:space="0" w:color="000000"/>
              <w:bottom w:val="single" w:sz="4" w:space="0" w:color="000000"/>
              <w:right w:val="single" w:sz="4" w:space="0" w:color="000000"/>
            </w:tcBorders>
            <w:vAlign w:val="center"/>
          </w:tcPr>
          <w:p w14:paraId="48F97498"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1 433 130</w:t>
            </w:r>
          </w:p>
        </w:tc>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24FACB0E"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2 705</w:t>
            </w:r>
          </w:p>
        </w:tc>
        <w:tc>
          <w:tcPr>
            <w:tcW w:w="936" w:type="dxa"/>
            <w:tcBorders>
              <w:top w:val="single" w:sz="4" w:space="0" w:color="000000"/>
              <w:left w:val="single" w:sz="4" w:space="0" w:color="000000"/>
              <w:bottom w:val="single" w:sz="4" w:space="0" w:color="000000"/>
              <w:right w:val="single" w:sz="4" w:space="0" w:color="000000"/>
            </w:tcBorders>
            <w:vAlign w:val="center"/>
          </w:tcPr>
          <w:p w14:paraId="444C97C6" w14:textId="77777777" w:rsidR="000A4214" w:rsidRDefault="00111391">
            <w:pPr>
              <w:widowControl w:val="0"/>
              <w:ind w:left="-117" w:right="-117"/>
              <w:jc w:val="center"/>
              <w:rPr>
                <w:rFonts w:ascii="Times New Roman" w:eastAsia="Times New Roman" w:hAnsi="Times New Roman" w:cs="Times New Roman"/>
              </w:rPr>
            </w:pPr>
            <w:r>
              <w:rPr>
                <w:rFonts w:ascii="Times New Roman" w:eastAsia="Times New Roman" w:hAnsi="Times New Roman" w:cs="Times New Roman"/>
              </w:rPr>
              <w:t>112 742</w:t>
            </w:r>
          </w:p>
        </w:tc>
      </w:tr>
      <w:tr w:rsidR="000A4214" w14:paraId="4DA332CD" w14:textId="77777777">
        <w:trPr>
          <w:jc w:val="center"/>
        </w:trPr>
        <w:tc>
          <w:tcPr>
            <w:tcW w:w="1481" w:type="dxa"/>
            <w:vMerge w:val="restart"/>
            <w:tcBorders>
              <w:top w:val="single" w:sz="4" w:space="0" w:color="000000"/>
              <w:left w:val="single" w:sz="4" w:space="0" w:color="000000"/>
              <w:bottom w:val="single" w:sz="4" w:space="0" w:color="000000"/>
              <w:right w:val="single" w:sz="4" w:space="0" w:color="000000"/>
            </w:tcBorders>
            <w:vAlign w:val="center"/>
          </w:tcPr>
          <w:p w14:paraId="203CDD1E"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Јужнобачка област</w:t>
            </w:r>
          </w:p>
        </w:tc>
        <w:tc>
          <w:tcPr>
            <w:tcW w:w="912" w:type="dxa"/>
            <w:tcBorders>
              <w:top w:val="single" w:sz="4" w:space="0" w:color="000000"/>
              <w:left w:val="single" w:sz="4" w:space="0" w:color="000000"/>
              <w:bottom w:val="single" w:sz="4" w:space="0" w:color="000000"/>
              <w:right w:val="single" w:sz="4" w:space="0" w:color="000000"/>
            </w:tcBorders>
            <w:vAlign w:val="center"/>
          </w:tcPr>
          <w:p w14:paraId="59FB8676"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2012.</w:t>
            </w:r>
          </w:p>
        </w:tc>
        <w:tc>
          <w:tcPr>
            <w:tcW w:w="799" w:type="dxa"/>
            <w:tcBorders>
              <w:top w:val="single" w:sz="4" w:space="0" w:color="000000"/>
              <w:left w:val="single" w:sz="4" w:space="0" w:color="000000"/>
              <w:bottom w:val="single" w:sz="4" w:space="0" w:color="000000"/>
              <w:right w:val="single" w:sz="4" w:space="0" w:color="000000"/>
            </w:tcBorders>
            <w:vAlign w:val="center"/>
          </w:tcPr>
          <w:p w14:paraId="21625069"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31 867</w:t>
            </w:r>
          </w:p>
        </w:tc>
        <w:tc>
          <w:tcPr>
            <w:tcW w:w="904" w:type="dxa"/>
            <w:tcBorders>
              <w:top w:val="single" w:sz="4" w:space="0" w:color="000000"/>
              <w:left w:val="single" w:sz="4" w:space="0" w:color="000000"/>
              <w:bottom w:val="single" w:sz="4" w:space="0" w:color="000000"/>
              <w:right w:val="single" w:sz="4" w:space="0" w:color="000000"/>
            </w:tcBorders>
            <w:vAlign w:val="center"/>
          </w:tcPr>
          <w:p w14:paraId="53B38311"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286 793</w:t>
            </w:r>
          </w:p>
        </w:tc>
        <w:tc>
          <w:tcPr>
            <w:tcW w:w="798" w:type="dxa"/>
            <w:tcBorders>
              <w:top w:val="single" w:sz="4" w:space="0" w:color="000000"/>
              <w:left w:val="single" w:sz="4" w:space="0" w:color="000000"/>
              <w:bottom w:val="single" w:sz="4" w:space="0" w:color="000000"/>
              <w:right w:val="single" w:sz="4" w:space="0" w:color="000000"/>
            </w:tcBorders>
            <w:vAlign w:val="center"/>
          </w:tcPr>
          <w:p w14:paraId="28B8027C"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17 308</w:t>
            </w:r>
          </w:p>
        </w:tc>
        <w:tc>
          <w:tcPr>
            <w:tcW w:w="556" w:type="dxa"/>
            <w:tcBorders>
              <w:top w:val="single" w:sz="4" w:space="0" w:color="000000"/>
              <w:left w:val="single" w:sz="4" w:space="0" w:color="000000"/>
              <w:bottom w:val="single" w:sz="4" w:space="0" w:color="000000"/>
              <w:right w:val="single" w:sz="4" w:space="0" w:color="000000"/>
            </w:tcBorders>
            <w:vAlign w:val="center"/>
          </w:tcPr>
          <w:p w14:paraId="36442AAF"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953</w:t>
            </w:r>
          </w:p>
        </w:tc>
        <w:tc>
          <w:tcPr>
            <w:tcW w:w="804" w:type="dxa"/>
            <w:tcBorders>
              <w:top w:val="single" w:sz="4" w:space="0" w:color="000000"/>
              <w:left w:val="single" w:sz="4" w:space="0" w:color="000000"/>
              <w:bottom w:val="single" w:sz="4" w:space="0" w:color="000000"/>
              <w:right w:val="single" w:sz="4" w:space="0" w:color="000000"/>
            </w:tcBorders>
            <w:vAlign w:val="center"/>
          </w:tcPr>
          <w:p w14:paraId="70265B08"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24 322</w:t>
            </w:r>
          </w:p>
        </w:tc>
        <w:tc>
          <w:tcPr>
            <w:tcW w:w="965" w:type="dxa"/>
            <w:tcBorders>
              <w:top w:val="single" w:sz="4" w:space="0" w:color="000000"/>
              <w:left w:val="single" w:sz="4" w:space="0" w:color="000000"/>
              <w:bottom w:val="single" w:sz="4" w:space="0" w:color="000000"/>
              <w:right w:val="single" w:sz="4" w:space="0" w:color="000000"/>
            </w:tcBorders>
            <w:vAlign w:val="center"/>
          </w:tcPr>
          <w:p w14:paraId="0A7F2B7C"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274 012</w:t>
            </w:r>
          </w:p>
        </w:tc>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4BB3E4FA"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622</w:t>
            </w:r>
          </w:p>
        </w:tc>
        <w:tc>
          <w:tcPr>
            <w:tcW w:w="936" w:type="dxa"/>
            <w:tcBorders>
              <w:top w:val="single" w:sz="4" w:space="0" w:color="000000"/>
              <w:left w:val="single" w:sz="4" w:space="0" w:color="000000"/>
              <w:bottom w:val="single" w:sz="4" w:space="0" w:color="000000"/>
              <w:right w:val="single" w:sz="4" w:space="0" w:color="000000"/>
            </w:tcBorders>
            <w:vAlign w:val="center"/>
          </w:tcPr>
          <w:p w14:paraId="4F6415BF"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7 953</w:t>
            </w:r>
          </w:p>
        </w:tc>
      </w:tr>
      <w:tr w:rsidR="000A4214" w14:paraId="065F019D" w14:textId="77777777">
        <w:trPr>
          <w:jc w:val="center"/>
        </w:trPr>
        <w:tc>
          <w:tcPr>
            <w:tcW w:w="1481" w:type="dxa"/>
            <w:vMerge/>
            <w:tcBorders>
              <w:top w:val="single" w:sz="4" w:space="0" w:color="000000"/>
              <w:left w:val="single" w:sz="4" w:space="0" w:color="000000"/>
              <w:bottom w:val="single" w:sz="4" w:space="0" w:color="000000"/>
              <w:right w:val="single" w:sz="4" w:space="0" w:color="000000"/>
            </w:tcBorders>
            <w:vAlign w:val="center"/>
          </w:tcPr>
          <w:p w14:paraId="08E0CA54" w14:textId="77777777" w:rsidR="000A4214" w:rsidRDefault="000A4214">
            <w:pPr>
              <w:widowControl w:val="0"/>
              <w:rPr>
                <w:rFonts w:ascii="Times New Roman" w:eastAsia="Times New Roman" w:hAnsi="Times New Roman" w:cs="Times New Roman"/>
              </w:rPr>
            </w:pPr>
          </w:p>
        </w:tc>
        <w:tc>
          <w:tcPr>
            <w:tcW w:w="912" w:type="dxa"/>
            <w:tcBorders>
              <w:top w:val="single" w:sz="4" w:space="0" w:color="000000"/>
              <w:left w:val="single" w:sz="4" w:space="0" w:color="000000"/>
              <w:bottom w:val="single" w:sz="4" w:space="0" w:color="000000"/>
              <w:right w:val="single" w:sz="4" w:space="0" w:color="000000"/>
            </w:tcBorders>
            <w:vAlign w:val="center"/>
          </w:tcPr>
          <w:p w14:paraId="32BEA28D"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2018.</w:t>
            </w:r>
          </w:p>
        </w:tc>
        <w:tc>
          <w:tcPr>
            <w:tcW w:w="799" w:type="dxa"/>
            <w:tcBorders>
              <w:top w:val="single" w:sz="4" w:space="0" w:color="000000"/>
              <w:left w:val="single" w:sz="4" w:space="0" w:color="000000"/>
              <w:bottom w:val="single" w:sz="4" w:space="0" w:color="000000"/>
              <w:right w:val="single" w:sz="4" w:space="0" w:color="000000"/>
            </w:tcBorders>
            <w:vAlign w:val="center"/>
          </w:tcPr>
          <w:p w14:paraId="566ED13D"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25 276</w:t>
            </w:r>
          </w:p>
        </w:tc>
        <w:tc>
          <w:tcPr>
            <w:tcW w:w="904" w:type="dxa"/>
            <w:tcBorders>
              <w:top w:val="single" w:sz="4" w:space="0" w:color="000000"/>
              <w:left w:val="single" w:sz="4" w:space="0" w:color="000000"/>
              <w:bottom w:val="single" w:sz="4" w:space="0" w:color="000000"/>
              <w:right w:val="single" w:sz="4" w:space="0" w:color="000000"/>
            </w:tcBorders>
            <w:vAlign w:val="center"/>
          </w:tcPr>
          <w:p w14:paraId="745DFF14"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273729</w:t>
            </w:r>
          </w:p>
        </w:tc>
        <w:tc>
          <w:tcPr>
            <w:tcW w:w="798" w:type="dxa"/>
            <w:tcBorders>
              <w:top w:val="single" w:sz="4" w:space="0" w:color="000000"/>
              <w:left w:val="single" w:sz="4" w:space="0" w:color="000000"/>
              <w:bottom w:val="single" w:sz="4" w:space="0" w:color="000000"/>
              <w:right w:val="single" w:sz="4" w:space="0" w:color="000000"/>
            </w:tcBorders>
            <w:vAlign w:val="center"/>
          </w:tcPr>
          <w:p w14:paraId="550F8E03"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11 957</w:t>
            </w:r>
          </w:p>
        </w:tc>
        <w:tc>
          <w:tcPr>
            <w:tcW w:w="556" w:type="dxa"/>
            <w:tcBorders>
              <w:top w:val="single" w:sz="4" w:space="0" w:color="000000"/>
              <w:left w:val="single" w:sz="4" w:space="0" w:color="000000"/>
              <w:bottom w:val="single" w:sz="4" w:space="0" w:color="000000"/>
              <w:right w:val="single" w:sz="4" w:space="0" w:color="000000"/>
            </w:tcBorders>
            <w:vAlign w:val="center"/>
          </w:tcPr>
          <w:p w14:paraId="50C7EAB9"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560</w:t>
            </w:r>
          </w:p>
        </w:tc>
        <w:tc>
          <w:tcPr>
            <w:tcW w:w="804" w:type="dxa"/>
            <w:tcBorders>
              <w:top w:val="single" w:sz="4" w:space="0" w:color="000000"/>
              <w:left w:val="single" w:sz="4" w:space="0" w:color="000000"/>
              <w:bottom w:val="single" w:sz="4" w:space="0" w:color="000000"/>
              <w:right w:val="single" w:sz="4" w:space="0" w:color="000000"/>
            </w:tcBorders>
            <w:vAlign w:val="center"/>
          </w:tcPr>
          <w:p w14:paraId="208488AF"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22 465</w:t>
            </w:r>
          </w:p>
        </w:tc>
        <w:tc>
          <w:tcPr>
            <w:tcW w:w="965" w:type="dxa"/>
            <w:tcBorders>
              <w:top w:val="single" w:sz="4" w:space="0" w:color="000000"/>
              <w:left w:val="single" w:sz="4" w:space="0" w:color="000000"/>
              <w:bottom w:val="single" w:sz="4" w:space="0" w:color="000000"/>
              <w:right w:val="single" w:sz="4" w:space="0" w:color="000000"/>
            </w:tcBorders>
            <w:vAlign w:val="center"/>
          </w:tcPr>
          <w:p w14:paraId="177C745F"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262 394</w:t>
            </w:r>
          </w:p>
        </w:tc>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1C892F57"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469</w:t>
            </w:r>
          </w:p>
        </w:tc>
        <w:tc>
          <w:tcPr>
            <w:tcW w:w="936" w:type="dxa"/>
            <w:tcBorders>
              <w:top w:val="single" w:sz="4" w:space="0" w:color="000000"/>
              <w:left w:val="single" w:sz="4" w:space="0" w:color="000000"/>
              <w:bottom w:val="single" w:sz="4" w:space="0" w:color="000000"/>
              <w:right w:val="single" w:sz="4" w:space="0" w:color="000000"/>
            </w:tcBorders>
            <w:vAlign w:val="center"/>
          </w:tcPr>
          <w:p w14:paraId="55E9D361"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6 086</w:t>
            </w:r>
          </w:p>
        </w:tc>
      </w:tr>
      <w:tr w:rsidR="000A4214" w14:paraId="7A99DFB2" w14:textId="77777777">
        <w:trPr>
          <w:jc w:val="center"/>
        </w:trPr>
        <w:tc>
          <w:tcPr>
            <w:tcW w:w="1481" w:type="dxa"/>
            <w:vMerge w:val="restart"/>
            <w:tcBorders>
              <w:top w:val="single" w:sz="4" w:space="0" w:color="000000"/>
              <w:left w:val="single" w:sz="4" w:space="0" w:color="000000"/>
              <w:bottom w:val="single" w:sz="4" w:space="0" w:color="000000"/>
              <w:right w:val="single" w:sz="4" w:space="0" w:color="000000"/>
            </w:tcBorders>
            <w:shd w:val="clear" w:color="auto" w:fill="FFCC00"/>
            <w:vAlign w:val="center"/>
          </w:tcPr>
          <w:p w14:paraId="05CDA18E"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Врбас</w:t>
            </w:r>
          </w:p>
        </w:tc>
        <w:tc>
          <w:tcPr>
            <w:tcW w:w="912"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3CBB7CEF"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2012.</w:t>
            </w:r>
          </w:p>
        </w:tc>
        <w:tc>
          <w:tcPr>
            <w:tcW w:w="799" w:type="dxa"/>
            <w:tcBorders>
              <w:top w:val="single" w:sz="4" w:space="0" w:color="000000"/>
              <w:left w:val="single" w:sz="4" w:space="0" w:color="000000"/>
              <w:bottom w:val="single" w:sz="4" w:space="0" w:color="000000"/>
              <w:right w:val="single" w:sz="4" w:space="0" w:color="000000"/>
            </w:tcBorders>
            <w:shd w:val="clear" w:color="auto" w:fill="FFCC00"/>
          </w:tcPr>
          <w:p w14:paraId="7FB4A713"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3 168</w:t>
            </w:r>
          </w:p>
        </w:tc>
        <w:tc>
          <w:tcPr>
            <w:tcW w:w="904" w:type="dxa"/>
            <w:tcBorders>
              <w:top w:val="single" w:sz="4" w:space="0" w:color="000000"/>
              <w:left w:val="single" w:sz="4" w:space="0" w:color="000000"/>
              <w:bottom w:val="single" w:sz="4" w:space="0" w:color="000000"/>
              <w:right w:val="single" w:sz="4" w:space="0" w:color="000000"/>
            </w:tcBorders>
            <w:shd w:val="clear" w:color="auto" w:fill="FFCC00"/>
          </w:tcPr>
          <w:p w14:paraId="507A8454"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28 975</w:t>
            </w:r>
          </w:p>
        </w:tc>
        <w:tc>
          <w:tcPr>
            <w:tcW w:w="798" w:type="dxa"/>
            <w:tcBorders>
              <w:top w:val="single" w:sz="4" w:space="0" w:color="000000"/>
              <w:left w:val="single" w:sz="4" w:space="0" w:color="000000"/>
              <w:bottom w:val="single" w:sz="4" w:space="0" w:color="000000"/>
              <w:right w:val="single" w:sz="4" w:space="0" w:color="000000"/>
            </w:tcBorders>
            <w:shd w:val="clear" w:color="auto" w:fill="FFCC00"/>
          </w:tcPr>
          <w:p w14:paraId="0733713F"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1 941</w:t>
            </w:r>
          </w:p>
        </w:tc>
        <w:tc>
          <w:tcPr>
            <w:tcW w:w="556" w:type="dxa"/>
            <w:tcBorders>
              <w:top w:val="single" w:sz="4" w:space="0" w:color="000000"/>
              <w:left w:val="single" w:sz="4" w:space="0" w:color="000000"/>
              <w:bottom w:val="single" w:sz="4" w:space="0" w:color="000000"/>
              <w:right w:val="single" w:sz="4" w:space="0" w:color="000000"/>
            </w:tcBorders>
            <w:shd w:val="clear" w:color="auto" w:fill="FFCC00"/>
          </w:tcPr>
          <w:p w14:paraId="5B8C327C"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86</w:t>
            </w:r>
          </w:p>
        </w:tc>
        <w:tc>
          <w:tcPr>
            <w:tcW w:w="804" w:type="dxa"/>
            <w:tcBorders>
              <w:top w:val="single" w:sz="4" w:space="0" w:color="000000"/>
              <w:left w:val="single" w:sz="4" w:space="0" w:color="000000"/>
              <w:bottom w:val="single" w:sz="4" w:space="0" w:color="000000"/>
              <w:right w:val="single" w:sz="4" w:space="0" w:color="000000"/>
            </w:tcBorders>
            <w:shd w:val="clear" w:color="auto" w:fill="FFCC00"/>
          </w:tcPr>
          <w:p w14:paraId="2C79AC85"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2 610</w:t>
            </w:r>
          </w:p>
        </w:tc>
        <w:tc>
          <w:tcPr>
            <w:tcW w:w="965" w:type="dxa"/>
            <w:tcBorders>
              <w:top w:val="single" w:sz="4" w:space="0" w:color="000000"/>
              <w:left w:val="single" w:sz="4" w:space="0" w:color="000000"/>
              <w:bottom w:val="single" w:sz="4" w:space="0" w:color="000000"/>
              <w:right w:val="single" w:sz="4" w:space="0" w:color="000000"/>
            </w:tcBorders>
            <w:shd w:val="clear" w:color="auto" w:fill="FFCC00"/>
          </w:tcPr>
          <w:p w14:paraId="52DC2C41"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28 350</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CC00"/>
          </w:tcPr>
          <w:p w14:paraId="639A8D75"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28</w:t>
            </w:r>
          </w:p>
        </w:tc>
        <w:tc>
          <w:tcPr>
            <w:tcW w:w="936" w:type="dxa"/>
            <w:tcBorders>
              <w:top w:val="single" w:sz="4" w:space="0" w:color="000000"/>
              <w:left w:val="single" w:sz="4" w:space="0" w:color="000000"/>
              <w:bottom w:val="single" w:sz="4" w:space="0" w:color="000000"/>
              <w:right w:val="single" w:sz="4" w:space="0" w:color="000000"/>
            </w:tcBorders>
            <w:shd w:val="clear" w:color="auto" w:fill="FFCC00"/>
          </w:tcPr>
          <w:p w14:paraId="3B31A529"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283</w:t>
            </w:r>
          </w:p>
        </w:tc>
      </w:tr>
      <w:tr w:rsidR="000A4214" w14:paraId="4FAD806E" w14:textId="77777777">
        <w:trPr>
          <w:jc w:val="center"/>
        </w:trPr>
        <w:tc>
          <w:tcPr>
            <w:tcW w:w="1481" w:type="dxa"/>
            <w:vMerge/>
            <w:tcBorders>
              <w:top w:val="single" w:sz="4" w:space="0" w:color="000000"/>
              <w:left w:val="single" w:sz="4" w:space="0" w:color="000000"/>
              <w:bottom w:val="single" w:sz="4" w:space="0" w:color="000000"/>
              <w:right w:val="single" w:sz="4" w:space="0" w:color="000000"/>
            </w:tcBorders>
            <w:shd w:val="clear" w:color="auto" w:fill="FFCC00"/>
            <w:vAlign w:val="center"/>
          </w:tcPr>
          <w:p w14:paraId="7C27ACA4" w14:textId="77777777" w:rsidR="000A4214" w:rsidRDefault="000A4214">
            <w:pPr>
              <w:widowControl w:val="0"/>
              <w:rPr>
                <w:rFonts w:ascii="Times New Roman" w:eastAsia="Times New Roman" w:hAnsi="Times New Roman" w:cs="Times New Roman"/>
              </w:rPr>
            </w:pPr>
          </w:p>
        </w:tc>
        <w:tc>
          <w:tcPr>
            <w:tcW w:w="912"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19170EE2"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2018.</w:t>
            </w:r>
          </w:p>
        </w:tc>
        <w:tc>
          <w:tcPr>
            <w:tcW w:w="799" w:type="dxa"/>
            <w:tcBorders>
              <w:top w:val="single" w:sz="4" w:space="0" w:color="000000"/>
              <w:left w:val="single" w:sz="4" w:space="0" w:color="000000"/>
              <w:bottom w:val="single" w:sz="4" w:space="0" w:color="000000"/>
              <w:right w:val="single" w:sz="4" w:space="0" w:color="000000"/>
            </w:tcBorders>
            <w:shd w:val="clear" w:color="auto" w:fill="FFCC00"/>
          </w:tcPr>
          <w:p w14:paraId="24A2BEF5"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2 661</w:t>
            </w:r>
          </w:p>
        </w:tc>
        <w:tc>
          <w:tcPr>
            <w:tcW w:w="904" w:type="dxa"/>
            <w:tcBorders>
              <w:top w:val="single" w:sz="4" w:space="0" w:color="000000"/>
              <w:left w:val="single" w:sz="4" w:space="0" w:color="000000"/>
              <w:bottom w:val="single" w:sz="4" w:space="0" w:color="000000"/>
              <w:right w:val="single" w:sz="4" w:space="0" w:color="000000"/>
            </w:tcBorders>
            <w:shd w:val="clear" w:color="auto" w:fill="FFCC00"/>
          </w:tcPr>
          <w:p w14:paraId="12848217"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29 751</w:t>
            </w:r>
          </w:p>
        </w:tc>
        <w:tc>
          <w:tcPr>
            <w:tcW w:w="798" w:type="dxa"/>
            <w:tcBorders>
              <w:top w:val="single" w:sz="4" w:space="0" w:color="000000"/>
              <w:left w:val="single" w:sz="4" w:space="0" w:color="000000"/>
              <w:bottom w:val="single" w:sz="4" w:space="0" w:color="000000"/>
              <w:right w:val="single" w:sz="4" w:space="0" w:color="000000"/>
            </w:tcBorders>
            <w:shd w:val="clear" w:color="auto" w:fill="FFCC00"/>
          </w:tcPr>
          <w:p w14:paraId="007F71F8"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1 512</w:t>
            </w:r>
          </w:p>
        </w:tc>
        <w:tc>
          <w:tcPr>
            <w:tcW w:w="556" w:type="dxa"/>
            <w:tcBorders>
              <w:top w:val="single" w:sz="4" w:space="0" w:color="000000"/>
              <w:left w:val="single" w:sz="4" w:space="0" w:color="000000"/>
              <w:bottom w:val="single" w:sz="4" w:space="0" w:color="000000"/>
              <w:right w:val="single" w:sz="4" w:space="0" w:color="000000"/>
            </w:tcBorders>
            <w:shd w:val="clear" w:color="auto" w:fill="FFCC00"/>
          </w:tcPr>
          <w:p w14:paraId="3443E0C1"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86</w:t>
            </w:r>
          </w:p>
        </w:tc>
        <w:tc>
          <w:tcPr>
            <w:tcW w:w="804" w:type="dxa"/>
            <w:tcBorders>
              <w:top w:val="single" w:sz="4" w:space="0" w:color="000000"/>
              <w:left w:val="single" w:sz="4" w:space="0" w:color="000000"/>
              <w:bottom w:val="single" w:sz="4" w:space="0" w:color="000000"/>
              <w:right w:val="single" w:sz="4" w:space="0" w:color="000000"/>
            </w:tcBorders>
            <w:shd w:val="clear" w:color="auto" w:fill="FFCC00"/>
          </w:tcPr>
          <w:p w14:paraId="2B1225A8"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2 367</w:t>
            </w:r>
          </w:p>
        </w:tc>
        <w:tc>
          <w:tcPr>
            <w:tcW w:w="965" w:type="dxa"/>
            <w:tcBorders>
              <w:top w:val="single" w:sz="4" w:space="0" w:color="000000"/>
              <w:left w:val="single" w:sz="4" w:space="0" w:color="000000"/>
              <w:bottom w:val="single" w:sz="4" w:space="0" w:color="000000"/>
              <w:right w:val="single" w:sz="4" w:space="0" w:color="000000"/>
            </w:tcBorders>
            <w:shd w:val="clear" w:color="auto" w:fill="FFCC00"/>
          </w:tcPr>
          <w:p w14:paraId="723B5F54"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29 111</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FFCC00"/>
          </w:tcPr>
          <w:p w14:paraId="6AC51209"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44</w:t>
            </w:r>
          </w:p>
        </w:tc>
        <w:tc>
          <w:tcPr>
            <w:tcW w:w="936" w:type="dxa"/>
            <w:tcBorders>
              <w:top w:val="single" w:sz="4" w:space="0" w:color="000000"/>
              <w:left w:val="single" w:sz="4" w:space="0" w:color="000000"/>
              <w:bottom w:val="single" w:sz="4" w:space="0" w:color="000000"/>
              <w:right w:val="single" w:sz="4" w:space="0" w:color="000000"/>
            </w:tcBorders>
            <w:shd w:val="clear" w:color="auto" w:fill="FFCC00"/>
          </w:tcPr>
          <w:p w14:paraId="2551D6E3"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rPr>
              <w:t>228</w:t>
            </w:r>
          </w:p>
        </w:tc>
      </w:tr>
    </w:tbl>
    <w:p w14:paraId="4E24DE1E" w14:textId="77777777" w:rsidR="000A4214" w:rsidRDefault="0011139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*КПЗ- коришћено пољопривредно земљиште, **ПГ – пољопривредно газдинство</w:t>
      </w:r>
    </w:p>
    <w:p w14:paraId="7769FCC9" w14:textId="77777777" w:rsidR="000A4214" w:rsidRDefault="00111391">
      <w:pPr>
        <w:tabs>
          <w:tab w:val="left" w:pos="284"/>
        </w:tabs>
        <w:spacing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Извор: </w:t>
      </w:r>
      <w:r>
        <w:rPr>
          <w:rFonts w:ascii="Times New Roman" w:eastAsia="Times New Roman" w:hAnsi="Times New Roman" w:cs="Times New Roman"/>
          <w:i/>
          <w:iCs/>
          <w:sz w:val="20"/>
          <w:szCs w:val="20"/>
        </w:rPr>
        <w:t>Анкета о структури пољопривредних газдинстава</w:t>
      </w:r>
      <w:r>
        <w:rPr>
          <w:rFonts w:ascii="Times New Roman" w:eastAsia="Times New Roman" w:hAnsi="Times New Roman" w:cs="Times New Roman"/>
          <w:sz w:val="20"/>
          <w:szCs w:val="20"/>
        </w:rPr>
        <w:t xml:space="preserve">, РЗС, 2018; </w:t>
      </w:r>
      <w:r>
        <w:rPr>
          <w:rFonts w:ascii="Times New Roman" w:eastAsia="Times New Roman" w:hAnsi="Times New Roman" w:cs="Times New Roman"/>
          <w:i/>
          <w:iCs/>
          <w:sz w:val="20"/>
          <w:szCs w:val="20"/>
        </w:rPr>
        <w:t>Попис пољопривреде 2012</w:t>
      </w:r>
      <w:r>
        <w:rPr>
          <w:rFonts w:ascii="Times New Roman" w:eastAsia="Times New Roman" w:hAnsi="Times New Roman" w:cs="Times New Roman"/>
          <w:sz w:val="20"/>
          <w:szCs w:val="20"/>
        </w:rPr>
        <w:t>, РЗС.</w:t>
      </w:r>
    </w:p>
    <w:p w14:paraId="3813ADB2" w14:textId="7698BE7D"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подручју Врбаса забележено је 2.661 пољопривредно газдинство, на којима се обрађује 29.751 ха земљишта. Удео КПЗ Врбаса у Јужнобачком округу чини 10,87%, док је на нивоу АП Војводине знатно мањи и износи 1,89%. У односу на КПЗ Републике Србије, тај удео је још мањи и износи 0,86%.</w:t>
      </w:r>
    </w:p>
    <w:p w14:paraId="65FB571C"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Најзаступљеније категорије земљишта на територији општине Врбас су оранице и баште (29.111 ха), ливаде и пашњаци (228 ха) и окућнице (86 ха). Удео у укупно коришћеном пољопривредном земљишту: 97,85% оранице и баште; 0,77% ливаде и пашњаци, 1,09% воћњаци и 0,29% окућнице.</w:t>
      </w:r>
    </w:p>
    <w:p w14:paraId="7649B804"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односу на 2012. годину, број пољопривредних газдинстава у 2018. години се смањио за 12,88%, док је 11,09% коришћеног пољопривредног земљишта мање у употреби. Површина за производњу на окућницама су за 61,54% смањене, оранице и баште се простиру на 14,29% мање површина, док су ливаде и пашњаци смањени за 2,58%.</w:t>
      </w:r>
    </w:p>
    <w:p w14:paraId="05257269"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Укупне површине под ораницама и баштама у општини Врбас у 2018. години бележе повећање од 2,68% у односу на 2012. годину. Жита се гаје на 14.496 ха обрадивих површина и она бележе смањење од 13,79 % у односу на 2012. годину. Производња махунарки у 2018. години простире се на 89 ха, што је на 85,96% мање него у 2012. години. Површине под осталим групама биља у осталим групама: површине под кромпиром мање су за 50,57% (43 ха); шећерна репа је гајена на 20,32% мање површина у 2018. години, него у 2012. години. Површине под индустријским биљем бележе пораст за 62,93% (8743 ха), док су површине под крмним биљем забележиле такође раст за 47,13% (896 ха).</w:t>
      </w:r>
    </w:p>
    <w:p w14:paraId="08A2CA7D"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 сетвеној структури ораница и башти најзаступљенија је производња жита (49,80%), индустријско биље (30,03%) и шећерне репе (12,74%). Махунарке су заступљене са 0,31%, кромпир је заступљен са 0,15% и крмно биље са 3,08% (896 ха).</w:t>
      </w:r>
    </w:p>
    <w:p w14:paraId="683ED48E"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сетвеној структури житарица у 2018. години најзаступљенији је кукуруз за зрно – 10.602 ха и чини 73,13% засејаних површина под житима. Следе површине под пшеницом и крупником – 3.504 ха и чине 24,17% засејаних површина. Површине засејане јечмом у 2018. години бележе смањење од 56,97% у односу на 2012. годину и износе – 327 ха. Јечам се налази на 2,26% засејаних површина. У 2018. години површине на којима се гаји дурум пшеница нису забележене. Тритикале је у 2018. години засејан на 42 ха, што чини 0,29% површина под житарицама. Раж и овас за зрно су засејане на 9 ха и 12 ха ораничних површина у 2018. години.</w:t>
      </w:r>
    </w:p>
    <w:p w14:paraId="4D6D3FCD"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Укупне површине под махунаркама у 2018. години на територији Врбас су смањене у односу на 2012. годину за 85,96 % (са 634 ха на 89 ха). У 2012. години грашак за суво зрно посејан je на 585 ха, док је пасуљ гајен на 49 хектара. У 2018. години целокупна производња махунарки усмерена је на производњу пасуља, која се одвијала на 89 хектара.</w:t>
      </w:r>
    </w:p>
    <w:p w14:paraId="73356ABE"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структури индустријског биља на територији општине Врбас, највеће површине засејане су сојом – 7.296 ха, што чини 83,45% укупно засејаних површина у 2018. години. После соје, на највише површина засејан је сунцокрет – 996 ха (11,39 %) и уљана репица – 426 ха (4,87%). У сетвеној структури своје место су пронашле и површине под лековитим и ароматичним биљем – 20 ха и остало индустријско биље на 5 ха. У односу на 2012. годину, укупне површине су повећане за 62,93%.</w:t>
      </w:r>
    </w:p>
    <w:p w14:paraId="634D01F8" w14:textId="77777777" w:rsidR="000A4214" w:rsidRDefault="00111391">
      <w:pPr>
        <w:tabs>
          <w:tab w:val="left" w:pos="284"/>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Укупна производња крмног биља у 2018. години порасла је за 47,13%. Производња мешавине трава обавља се на 70 ха, док су остварене површине под кукурузом за силажу износиле 207 ха и док се је та површина у 2012. години производња обављана на 23 ха. Производња детелине и луцерке је повећана за 9,46% и обавља се на 613 хектара. У 2018. години забележено је 5 ха површина на којима су се гајиле остале крмне легуминозе, док за остале групе није било података.</w:t>
      </w:r>
    </w:p>
    <w:p w14:paraId="1C51662E"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2.2. Производња поврћа, воћа и грожђа</w:t>
      </w:r>
    </w:p>
    <w:p w14:paraId="79C9B971"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 производњи </w:t>
      </w:r>
      <w:r>
        <w:rPr>
          <w:rFonts w:ascii="Times New Roman" w:eastAsia="Times New Roman" w:hAnsi="Times New Roman" w:cs="Times New Roman"/>
          <w:i/>
          <w:sz w:val="24"/>
          <w:szCs w:val="24"/>
        </w:rPr>
        <w:t>поврћа</w:t>
      </w:r>
      <w:r>
        <w:rPr>
          <w:rFonts w:ascii="Times New Roman" w:eastAsia="Times New Roman" w:hAnsi="Times New Roman" w:cs="Times New Roman"/>
          <w:sz w:val="24"/>
          <w:szCs w:val="24"/>
        </w:rPr>
        <w:t xml:space="preserve"> на подручју општине Врбас највише је заступљена производња кромпира, пасуља, грашка, паприке, црног лука, парадајза карфиола и лубенице.</w:t>
      </w:r>
    </w:p>
    <w:p w14:paraId="4ADC0FDF"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Производња поврћа на подручју општине Врбас одвија се на укупно 905 ха. Од укупног броја газдинстава на подручју општине, 6,1 %, односно 161 газдинство бави се повртарством.</w:t>
      </w:r>
    </w:p>
    <w:p w14:paraId="7759C689"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Посматрано са становишта економске величине газдинства на којима се одвија производња поврћа најзаступљенија су газдинства која се сврставају у категорију вредности од 15 до 25 хиљада евра. На територији општине Врбас забележено је 62 газдинства која припадају овој категорији економске величине, односно 38,5% укупног броја газдинстава које се баве повртарском производњом.</w:t>
      </w:r>
    </w:p>
    <w:p w14:paraId="4A225E85"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Према заступљености, следе газдинства која се сврставају у категорију вредности од 2 до 4 хиљаде евра, односно категорију до 2 хиљаде евра, а која броје 40, односно 25 газдинстава и имају учешће од 24,8, односно 15,5% у укупном броју газдинстава које се баве производњом поврћа.</w:t>
      </w:r>
    </w:p>
    <w:p w14:paraId="2390EBC3"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Следе газдинства економске величине од 8 до 15 хиљада евра и газдинства вредности од 25 до 50 хиљада евра, која броје 14, односно 7 газдинстава, и имају учешће од 8,7, </w:t>
      </w:r>
      <w:r>
        <w:rPr>
          <w:rFonts w:ascii="Times New Roman" w:eastAsia="Times New Roman" w:hAnsi="Times New Roman" w:cs="Times New Roman"/>
          <w:sz w:val="24"/>
          <w:szCs w:val="24"/>
        </w:rPr>
        <w:lastRenderedPageBreak/>
        <w:t>односно 4,3% у укупном броју газдинстава која се баве производњом поврћа у општини Врбас. Остале категорије економске величине газдинства заступљене су у малом броју.</w:t>
      </w:r>
    </w:p>
    <w:p w14:paraId="09B14A58"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територији општине забележено је једно газдинство које према економској величини припада категорији вредности од 1,5 до 3 милиона евра и два газдинства које припада категорији вредности већој од 3 милиона евра. Наведена газдинства производе поврће на отвореном пољу које је намењено за индустријску прераду.</w:t>
      </w:r>
    </w:p>
    <w:p w14:paraId="717DD5C7"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Посматрано са становишта структуре према типу производње, доминантно је заступљена производња на отвореном пољу која је намењена за индустријску прераду и која се одвија на 823 ха (Графикон 3), а целокупна производња поврћа за прераду одвија у оквиру 76 пољопривредних газдинстава.</w:t>
      </w:r>
    </w:p>
    <w:p w14:paraId="037F1BE6" w14:textId="77777777" w:rsidR="000A4214" w:rsidRDefault="00111391">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Графикон 3. </w:t>
      </w:r>
      <w:r>
        <w:rPr>
          <w:rFonts w:ascii="Times New Roman" w:eastAsia="Times New Roman" w:hAnsi="Times New Roman" w:cs="Times New Roman"/>
          <w:sz w:val="24"/>
          <w:szCs w:val="24"/>
        </w:rPr>
        <w:t>Структура површина под поврћем на територији општине Врбас према типу</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производње</w:t>
      </w:r>
    </w:p>
    <w:p w14:paraId="3E5DE98C" w14:textId="77777777" w:rsidR="000A4214" w:rsidRDefault="00111391">
      <w:pPr>
        <w:spacing w:after="120" w:line="240" w:lineRule="auto"/>
        <w:jc w:val="center"/>
        <w:rPr>
          <w:rFonts w:ascii="Times New Roman" w:eastAsia="Times New Roman" w:hAnsi="Times New Roman" w:cs="Times New Roman"/>
          <w:sz w:val="24"/>
          <w:szCs w:val="24"/>
        </w:rPr>
      </w:pPr>
      <w:r>
        <w:rPr>
          <w:noProof/>
        </w:rPr>
        <w:drawing>
          <wp:inline distT="0" distB="0" distL="0" distR="0" wp14:anchorId="4423D8C2" wp14:editId="2E3F643E">
            <wp:extent cx="467233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3D57308" w14:textId="77777777" w:rsidR="000A4214" w:rsidRDefault="00111391">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Извор: Републички завод за статистику, Београд.</w:t>
      </w:r>
    </w:p>
    <w:p w14:paraId="1EAAC536"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Следи производња поврћа на отвореном пољу која је намењена за потрошњу у свежем стању, и која се одвија на 80 ха, а у овом типу производње учествује 86 газдинства. Производња поврћа у стакленицима и пластеницима одвија се на свега 2 ха. У производњи поврћа у заштићеном простору на територији општине Врбас укључено је 27 газдинстава. Наведени подаци указују на изузетно слабу развијеност производње поврћа у заштићеном простору и потребу да се овом типу производње да значај у наредном периоду.</w:t>
      </w:r>
    </w:p>
    <w:p w14:paraId="185C7127"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Повртарска производња у општини Врбас треба да се развија због повољних агроеколошких услова који карактеришу ово подручје, али и због непосредне близине Новог Сада, релативне близине Београда и потенцијала за пласман великог дела производње на тржиштима ових градова. Поред наведеног, значајна је и непосредна веза са међународним аутопутем Е-75, односно Коридором 10.</w:t>
      </w:r>
    </w:p>
    <w:p w14:paraId="2D6D920D"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Производња поврћа мора да буде високо интензивна да би ценовно била конкурентна поврћу које се увози из земаља са изузетно повољном климом за повртарску производњу (Македонија, Турска, Албанија).</w:t>
      </w:r>
    </w:p>
    <w:p w14:paraId="5F88CEFE"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Значајно за развој повртарства је и повећање производње у заштићеном простору (стакленици и пластеници), која се одвија на свега 0,2% укупних површина под поврћем </w:t>
      </w:r>
      <w:r>
        <w:rPr>
          <w:rFonts w:ascii="Times New Roman" w:eastAsia="Times New Roman" w:hAnsi="Times New Roman" w:cs="Times New Roman"/>
          <w:sz w:val="24"/>
          <w:szCs w:val="24"/>
        </w:rPr>
        <w:lastRenderedPageBreak/>
        <w:t>на територији општине, што би омогућило континуирано снабдевање циљних тржишта различитим врстама поврћа.</w:t>
      </w:r>
    </w:p>
    <w:p w14:paraId="1E79D10C"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 </w:t>
      </w:r>
      <w:r>
        <w:rPr>
          <w:rFonts w:ascii="Times New Roman" w:eastAsia="Times New Roman" w:hAnsi="Times New Roman" w:cs="Times New Roman"/>
          <w:i/>
          <w:sz w:val="24"/>
          <w:szCs w:val="24"/>
        </w:rPr>
        <w:t xml:space="preserve">воћарској </w:t>
      </w:r>
      <w:r>
        <w:rPr>
          <w:rFonts w:ascii="Times New Roman" w:eastAsia="Times New Roman" w:hAnsi="Times New Roman" w:cs="Times New Roman"/>
          <w:sz w:val="24"/>
          <w:szCs w:val="24"/>
        </w:rPr>
        <w:t>производњи на територији општине Врбас заступљена је производња вишње, лешника, малине, јабуке, шљиве и кајсије. Производња се одвија на плантажним и на екстензивним воћњацима. Воћарство на територији општине није значајно развијено и нема традицију.</w:t>
      </w:r>
    </w:p>
    <w:p w14:paraId="42558CFB"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 укупног броја газдинстава на подручју општине Врбас (2.650), 15,4%, односно 407 газдинстава бави се производњом воћа.</w:t>
      </w:r>
    </w:p>
    <w:p w14:paraId="670E47EE"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Посматрано са становишта економске величине газдинства на којима се одвија производња воћа најзаступљенија су газдинства која се сврставају у категорију вредности од 2 до 4 хиљада евра. На територији општине Врбас забележено је 124 газдинства која припадају овој категорији економске величине, што чини 30,5% укупног броја газдинстава које се баве воћарском производњом. Следе газдинства која се сврставају у категорију вредности до 2 хиљаде евра, односно категорију од 8 до 15 хиљада евра, а која броје 84, односно 66 газдинстава и имају учешће од 20,6, односно 16,2%.</w:t>
      </w:r>
    </w:p>
    <w:p w14:paraId="29EA71FE"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категорији вредности од 4 до 8 хиљада евра забележено је 59 газдинстава, а следе газдинства економске величине од 25 до 50 хиљада и газдинства вредности од 15 до 25 хиљада евра, која броје 30, односно 20 газдинстава, и имају учешће од 7,4, односно 4,9% у укупном броју газдинстава која се баве воћарством у општини Врбас.</w:t>
      </w:r>
    </w:p>
    <w:p w14:paraId="2223F2C5"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Значајно је навести да у је производњи воћа на територији општине Врбас забележено једно газдинство, које према економској величини припадају категорији вредности од 1 до 1,5 милиона евра (производња кајсије) и два газдинства која припадају категорији вредности већој од 3 милиона евра (производња вишње и јабуке).</w:t>
      </w:r>
    </w:p>
    <w:p w14:paraId="58252CB5"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 укупне површине коришћеног пољопривредног земљишта на територији општине Врбас (29.751 ха) производња воћа одвија се на 325 ха. Највеће учешће у производњи има вишња која се гаји на 89 ха, што чини 27,4% укупних површина под воћем на подручју општине. Одмах затим следи производња лешника која се одвија на 86 ха, односно 26,5% површина.</w:t>
      </w:r>
    </w:p>
    <w:p w14:paraId="2530FDFD"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Према величини површина следи производња малине која се одвија на 59 ха, односно 18,2% површина, а затим и производња јабуке и шљиве која се одвија на 33, односно 25 ха, што чини 10,2, односно 7,7% укупних површина под воћем на територији општине Врбас. Производња кајсије одвија се на 17 ха, односно 5,2% површина, док остале воћне врсте које су заступљене у воћарској производњи општине (крушка, дуња и трешња) имају појединачно учешће у површинама које се креће од 0,6 до 2,5%.</w:t>
      </w:r>
    </w:p>
    <w:p w14:paraId="4CEBB506" w14:textId="77777777" w:rsidR="00C06A21" w:rsidRDefault="00C06A21">
      <w:pPr>
        <w:spacing w:after="120" w:line="240" w:lineRule="auto"/>
        <w:jc w:val="center"/>
        <w:rPr>
          <w:rFonts w:ascii="Times New Roman" w:eastAsia="Times New Roman" w:hAnsi="Times New Roman" w:cs="Times New Roman"/>
          <w:b/>
          <w:sz w:val="24"/>
          <w:szCs w:val="24"/>
        </w:rPr>
      </w:pPr>
    </w:p>
    <w:p w14:paraId="6F9FFE94" w14:textId="77777777" w:rsidR="00C06A21" w:rsidRDefault="00C06A21">
      <w:pPr>
        <w:spacing w:after="120" w:line="240" w:lineRule="auto"/>
        <w:jc w:val="center"/>
        <w:rPr>
          <w:rFonts w:ascii="Times New Roman" w:eastAsia="Times New Roman" w:hAnsi="Times New Roman" w:cs="Times New Roman"/>
          <w:b/>
          <w:sz w:val="24"/>
          <w:szCs w:val="24"/>
        </w:rPr>
      </w:pPr>
    </w:p>
    <w:p w14:paraId="738131A3" w14:textId="77777777" w:rsidR="00C06A21" w:rsidRDefault="00C06A21">
      <w:pPr>
        <w:spacing w:after="120" w:line="240" w:lineRule="auto"/>
        <w:jc w:val="center"/>
        <w:rPr>
          <w:rFonts w:ascii="Times New Roman" w:eastAsia="Times New Roman" w:hAnsi="Times New Roman" w:cs="Times New Roman"/>
          <w:b/>
          <w:sz w:val="24"/>
          <w:szCs w:val="24"/>
        </w:rPr>
      </w:pPr>
    </w:p>
    <w:p w14:paraId="22B73847" w14:textId="77777777" w:rsidR="00C06A21" w:rsidRDefault="00C06A21">
      <w:pPr>
        <w:spacing w:after="120" w:line="240" w:lineRule="auto"/>
        <w:jc w:val="center"/>
        <w:rPr>
          <w:rFonts w:ascii="Times New Roman" w:eastAsia="Times New Roman" w:hAnsi="Times New Roman" w:cs="Times New Roman"/>
          <w:b/>
          <w:sz w:val="24"/>
          <w:szCs w:val="24"/>
        </w:rPr>
      </w:pPr>
    </w:p>
    <w:p w14:paraId="3ADC3724" w14:textId="77777777" w:rsidR="00C06A21" w:rsidRDefault="00C06A21">
      <w:pPr>
        <w:spacing w:after="120" w:line="240" w:lineRule="auto"/>
        <w:jc w:val="center"/>
        <w:rPr>
          <w:rFonts w:ascii="Times New Roman" w:eastAsia="Times New Roman" w:hAnsi="Times New Roman" w:cs="Times New Roman"/>
          <w:b/>
          <w:sz w:val="24"/>
          <w:szCs w:val="24"/>
        </w:rPr>
      </w:pPr>
    </w:p>
    <w:p w14:paraId="78283954" w14:textId="77777777" w:rsidR="00C06A21" w:rsidRDefault="00C06A21">
      <w:pPr>
        <w:spacing w:after="120" w:line="240" w:lineRule="auto"/>
        <w:jc w:val="center"/>
        <w:rPr>
          <w:rFonts w:ascii="Times New Roman" w:eastAsia="Times New Roman" w:hAnsi="Times New Roman" w:cs="Times New Roman"/>
          <w:b/>
          <w:sz w:val="24"/>
          <w:szCs w:val="24"/>
        </w:rPr>
      </w:pPr>
    </w:p>
    <w:p w14:paraId="4E64DA8E" w14:textId="77777777" w:rsidR="00C06A21" w:rsidRDefault="00C06A21">
      <w:pPr>
        <w:spacing w:after="120" w:line="240" w:lineRule="auto"/>
        <w:jc w:val="center"/>
        <w:rPr>
          <w:rFonts w:ascii="Times New Roman" w:eastAsia="Times New Roman" w:hAnsi="Times New Roman" w:cs="Times New Roman"/>
          <w:b/>
          <w:sz w:val="24"/>
          <w:szCs w:val="24"/>
        </w:rPr>
      </w:pPr>
    </w:p>
    <w:p w14:paraId="31A3D616" w14:textId="77777777" w:rsidR="00C06A21" w:rsidRDefault="00C06A21">
      <w:pPr>
        <w:spacing w:after="120" w:line="240" w:lineRule="auto"/>
        <w:jc w:val="center"/>
        <w:rPr>
          <w:rFonts w:ascii="Times New Roman" w:eastAsia="Times New Roman" w:hAnsi="Times New Roman" w:cs="Times New Roman"/>
          <w:b/>
          <w:sz w:val="24"/>
          <w:szCs w:val="24"/>
        </w:rPr>
      </w:pPr>
    </w:p>
    <w:p w14:paraId="638C8B67" w14:textId="0E216171" w:rsidR="000A4214" w:rsidRDefault="00111391">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Графикон 4. </w:t>
      </w:r>
      <w:r>
        <w:rPr>
          <w:rFonts w:ascii="Times New Roman" w:eastAsia="Times New Roman" w:hAnsi="Times New Roman" w:cs="Times New Roman"/>
          <w:sz w:val="24"/>
          <w:szCs w:val="24"/>
        </w:rPr>
        <w:t>Површине под воћем и грожђем на територији општине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Врбас </w:t>
      </w:r>
    </w:p>
    <w:p w14:paraId="21CCECF9" w14:textId="77777777" w:rsidR="000A4214" w:rsidRDefault="00111391">
      <w:pPr>
        <w:spacing w:after="120" w:line="240" w:lineRule="auto"/>
        <w:jc w:val="center"/>
        <w:rPr>
          <w:rFonts w:ascii="Times New Roman" w:eastAsia="Times New Roman" w:hAnsi="Times New Roman" w:cs="Times New Roman"/>
          <w:sz w:val="24"/>
          <w:szCs w:val="24"/>
        </w:rPr>
      </w:pPr>
      <w:r>
        <w:rPr>
          <w:noProof/>
        </w:rPr>
        <w:drawing>
          <wp:inline distT="0" distB="0" distL="0" distR="0" wp14:anchorId="50F5693A" wp14:editId="71D2B394">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DABDE47"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Извор: Републички завод за статистику, Београд.</w:t>
      </w:r>
    </w:p>
    <w:p w14:paraId="557B311E" w14:textId="77777777" w:rsidR="000A4214" w:rsidRDefault="0011139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основу структуре воћарске производње, може се закључити да су заступљене воћне врсте одговарајуће у односу на климатске услове који карактеришу територију општине. Постоје повољни услови за виноградарску производњу, која је некада била заступљена, и у наредном периоду овај вид пољопривредне производње би требало подстицати.</w:t>
      </w:r>
    </w:p>
    <w:p w14:paraId="7218383E"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2.3. Производња ароматичног, лековитог и зачинског биља</w:t>
      </w:r>
    </w:p>
    <w:p w14:paraId="26329564" w14:textId="77777777" w:rsidR="000A4214" w:rsidRDefault="0011139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територији општине Врбас у 2018. години производња ароматичног и лековитог биља одвијала се на 20 ха, што представља вишеструко повећање површина под овом врстом биљака које су се у 2012. години гајиле на свега 1 ха. Поред тога постоји и један произвођач коме је то додатна делатност газдинства, а производи разно ароматично, лековито и зачинско биље. Овај произвођач се бави производњом и продајом рузмарина, жалфије, лаванде, матичњака, влашца, нане, босиљка (грчки, љубичасти, и великолисни), целера лишћара, француског першуна, першуна лишћара, чили паприке, чери парадајза.</w:t>
      </w:r>
    </w:p>
    <w:p w14:paraId="7D99E255"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2.4. Производња цвећа</w:t>
      </w:r>
    </w:p>
    <w:p w14:paraId="138CE240" w14:textId="77777777" w:rsidR="000A4214" w:rsidRDefault="0011139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општини Врбас постоји више произвођача. Јавна агенција за зоохигијену и пољопривреду – ЈАЗИП производи украсно дрвеће и жбуње, цвеће и саднице различитих воћних врста.</w:t>
      </w:r>
    </w:p>
    <w:p w14:paraId="1ED05F09" w14:textId="77777777" w:rsidR="000A4214" w:rsidRDefault="0011139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Производњом и продајом цвећа баве се и три цвећаре „Краљица</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„Ирис</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и „Камелија</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Цвећара </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Краљица</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има широк асортиман цвећа, а у понуди су руже разних сорти: вендела, авеланс, гранд при, еквадорске, мини руже и др.</w:t>
      </w:r>
    </w:p>
    <w:p w14:paraId="3ADA8F12" w14:textId="77777777" w:rsidR="000A4214" w:rsidRDefault="0011139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погледу украсног биља потребно је да се помене узгајивач кактуса и сукулената, породична фирма која има два пластеника од 135 м</w:t>
      </w:r>
      <w:r>
        <w:rPr>
          <w:rFonts w:ascii="Times New Roman" w:eastAsia="Times New Roman" w:hAnsi="Times New Roman" w:cs="Times New Roman"/>
          <w:sz w:val="24"/>
          <w:szCs w:val="24"/>
          <w:vertAlign w:val="superscript"/>
        </w:rPr>
        <w:t xml:space="preserve">2 </w:t>
      </w:r>
      <w:r>
        <w:rPr>
          <w:rFonts w:ascii="Times New Roman" w:eastAsia="Times New Roman" w:hAnsi="Times New Roman" w:cs="Times New Roman"/>
          <w:sz w:val="24"/>
          <w:szCs w:val="24"/>
        </w:rPr>
        <w:t>и 160 м</w:t>
      </w:r>
      <w:r>
        <w:rPr>
          <w:rFonts w:ascii="Times New Roman" w:eastAsia="Times New Roman" w:hAnsi="Times New Roman" w:cs="Times New Roman"/>
          <w:sz w:val="24"/>
          <w:szCs w:val="24"/>
          <w:vertAlign w:val="superscript"/>
        </w:rPr>
        <w:t xml:space="preserve">2, </w:t>
      </w:r>
      <w:r>
        <w:rPr>
          <w:rFonts w:ascii="Times New Roman" w:eastAsia="Times New Roman" w:hAnsi="Times New Roman" w:cs="Times New Roman"/>
          <w:sz w:val="24"/>
          <w:szCs w:val="24"/>
        </w:rPr>
        <w:t>у којима се узгаја око 200 врста кактуса и сукулената у око 20 хиљада саксија. Пошто је пласман и потражња за овим украсним биљем добра, планирају проширивање производње.</w:t>
      </w:r>
    </w:p>
    <w:p w14:paraId="6DAF8538"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2.4. Сточарство</w:t>
      </w:r>
    </w:p>
    <w:p w14:paraId="0196B3D4"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подручју општине Врбас, по подацима </w:t>
      </w:r>
      <w:r>
        <w:rPr>
          <w:rFonts w:ascii="Times New Roman" w:eastAsia="Times New Roman" w:hAnsi="Times New Roman" w:cs="Times New Roman"/>
          <w:i/>
          <w:iCs/>
          <w:sz w:val="24"/>
          <w:szCs w:val="24"/>
        </w:rPr>
        <w:t>Пописа пољопривреде 2012</w:t>
      </w:r>
      <w:r>
        <w:rPr>
          <w:rFonts w:ascii="Times New Roman" w:eastAsia="Times New Roman" w:hAnsi="Times New Roman" w:cs="Times New Roman"/>
          <w:sz w:val="24"/>
          <w:szCs w:val="24"/>
        </w:rPr>
        <w:t xml:space="preserve">, било је </w:t>
      </w:r>
      <w:r>
        <w:rPr>
          <w:rFonts w:ascii="Times New Roman" w:eastAsia="Times New Roman" w:hAnsi="Times New Roman" w:cs="Times New Roman"/>
          <w:sz w:val="24"/>
          <w:szCs w:val="24"/>
          <w:highlight w:val="white"/>
        </w:rPr>
        <w:t xml:space="preserve">25.850,84 </w:t>
      </w:r>
      <w:r>
        <w:rPr>
          <w:rFonts w:ascii="Times New Roman" w:eastAsia="Times New Roman" w:hAnsi="Times New Roman" w:cs="Times New Roman"/>
          <w:sz w:val="24"/>
          <w:szCs w:val="24"/>
        </w:rPr>
        <w:t>условних грла стоке на 2.362 пољопривредних газдинстава (од чега је</w:t>
      </w:r>
      <w:r>
        <w:rPr>
          <w:rFonts w:ascii="Times New Roman" w:eastAsia="Times New Roman" w:hAnsi="Times New Roman" w:cs="Times New Roman"/>
          <w:sz w:val="24"/>
          <w:szCs w:val="24"/>
          <w:highlight w:val="white"/>
        </w:rPr>
        <w:t xml:space="preserve"> 7.470,33 условних грла на 2.352 ППГ и 18.380,51 УГ на газдинству 10 правних лица)</w:t>
      </w:r>
      <w:r>
        <w:rPr>
          <w:rFonts w:ascii="Times New Roman" w:eastAsia="Times New Roman" w:hAnsi="Times New Roman" w:cs="Times New Roman"/>
          <w:sz w:val="24"/>
          <w:szCs w:val="24"/>
        </w:rPr>
        <w:t xml:space="preserve">. По подацима </w:t>
      </w:r>
      <w:r>
        <w:rPr>
          <w:rFonts w:ascii="Times New Roman" w:eastAsia="Times New Roman" w:hAnsi="Times New Roman" w:cs="Times New Roman"/>
          <w:i/>
          <w:iCs/>
          <w:sz w:val="24"/>
          <w:szCs w:val="24"/>
        </w:rPr>
        <w:t>Анкете о структури пољопривредних газдинстава 2018</w:t>
      </w:r>
      <w:r>
        <w:rPr>
          <w:rFonts w:ascii="Times New Roman" w:eastAsia="Times New Roman" w:hAnsi="Times New Roman" w:cs="Times New Roman"/>
          <w:sz w:val="24"/>
          <w:szCs w:val="24"/>
        </w:rPr>
        <w:t xml:space="preserve">, на 1.661 ПГ било је 22.904 УГ (од чега је 9.401 </w:t>
      </w:r>
      <w:r>
        <w:rPr>
          <w:rFonts w:ascii="Times New Roman" w:eastAsia="Times New Roman" w:hAnsi="Times New Roman" w:cs="Times New Roman"/>
          <w:sz w:val="24"/>
          <w:szCs w:val="24"/>
          <w:highlight w:val="white"/>
        </w:rPr>
        <w:t>условних грла на 1.656 ППГ, 13.503 УГ на газдинствима 5 правних лица)</w:t>
      </w:r>
      <w:r>
        <w:rPr>
          <w:rFonts w:ascii="Times New Roman" w:eastAsia="Times New Roman" w:hAnsi="Times New Roman" w:cs="Times New Roman"/>
          <w:sz w:val="24"/>
          <w:szCs w:val="24"/>
        </w:rPr>
        <w:t xml:space="preserve">. У периоду између </w:t>
      </w:r>
      <w:r>
        <w:rPr>
          <w:rFonts w:ascii="Times New Roman" w:eastAsia="Times New Roman" w:hAnsi="Times New Roman" w:cs="Times New Roman"/>
          <w:i/>
          <w:iCs/>
          <w:sz w:val="24"/>
          <w:szCs w:val="24"/>
        </w:rPr>
        <w:t>Пописа пољопривреде 2012.</w:t>
      </w:r>
      <w:r>
        <w:rPr>
          <w:rFonts w:ascii="Times New Roman" w:eastAsia="Times New Roman" w:hAnsi="Times New Roman" w:cs="Times New Roman"/>
          <w:sz w:val="24"/>
          <w:szCs w:val="24"/>
        </w:rPr>
        <w:t xml:space="preserve"> и </w:t>
      </w:r>
      <w:r>
        <w:rPr>
          <w:rFonts w:ascii="Times New Roman" w:eastAsia="Times New Roman" w:hAnsi="Times New Roman" w:cs="Times New Roman"/>
          <w:i/>
          <w:iCs/>
          <w:sz w:val="24"/>
          <w:szCs w:val="24"/>
        </w:rPr>
        <w:t>Анкете о структури пољопривредних газдинстава 2018. године</w:t>
      </w:r>
      <w:r>
        <w:rPr>
          <w:rFonts w:ascii="Times New Roman" w:eastAsia="Times New Roman" w:hAnsi="Times New Roman" w:cs="Times New Roman"/>
          <w:sz w:val="24"/>
          <w:szCs w:val="24"/>
        </w:rPr>
        <w:t>, на подручју општине остварено је смањење броја условних грла стоке и смањење броја пољопривредних газдинстава која се баве сточарском производњом. Ово кретање је у складу са стањем на нивоу Републике.</w:t>
      </w:r>
    </w:p>
    <w:p w14:paraId="0D7D7082"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Општина Врбас има повољне услове за сточарску производњу, а на основу броја условних грла стоке на 100 ха КПЗ (индекса густине сточног фонда) може се видети да је сточарска производња на нивоу општине много развијенија у односу на републички ниво (Табела 8).</w:t>
      </w:r>
    </w:p>
    <w:p w14:paraId="2051F050" w14:textId="77777777" w:rsidR="000A4214" w:rsidRDefault="00111391">
      <w:pPr>
        <w:spacing w:before="120" w:after="6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Табела 8. </w:t>
      </w:r>
      <w:r>
        <w:rPr>
          <w:rFonts w:ascii="Times New Roman" w:eastAsia="Times New Roman" w:hAnsi="Times New Roman" w:cs="Times New Roman"/>
          <w:sz w:val="24"/>
          <w:szCs w:val="24"/>
        </w:rPr>
        <w:t>Индекс густине сточног фонда, 2018.</w:t>
      </w:r>
    </w:p>
    <w:tbl>
      <w:tblPr>
        <w:tblW w:w="9057" w:type="dxa"/>
        <w:jc w:val="center"/>
        <w:tblLayout w:type="fixed"/>
        <w:tblLook w:val="0400" w:firstRow="0" w:lastRow="0" w:firstColumn="0" w:lastColumn="0" w:noHBand="0" w:noVBand="1"/>
      </w:tblPr>
      <w:tblGrid>
        <w:gridCol w:w="3781"/>
        <w:gridCol w:w="2526"/>
        <w:gridCol w:w="2750"/>
      </w:tblGrid>
      <w:tr w:rsidR="000A4214" w14:paraId="542D6D7E" w14:textId="77777777">
        <w:trPr>
          <w:jc w:val="center"/>
        </w:trPr>
        <w:tc>
          <w:tcPr>
            <w:tcW w:w="3781" w:type="dxa"/>
            <w:tcBorders>
              <w:top w:val="single" w:sz="4" w:space="0" w:color="000000"/>
              <w:left w:val="single" w:sz="4" w:space="0" w:color="000000"/>
              <w:bottom w:val="single" w:sz="4" w:space="0" w:color="000000"/>
              <w:right w:val="single" w:sz="4" w:space="0" w:color="000000"/>
            </w:tcBorders>
            <w:vAlign w:val="center"/>
          </w:tcPr>
          <w:p w14:paraId="027CFE2D" w14:textId="77777777" w:rsidR="000A4214" w:rsidRDefault="00111391">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Република/ЈЛС</w:t>
            </w:r>
          </w:p>
        </w:tc>
        <w:tc>
          <w:tcPr>
            <w:tcW w:w="2526" w:type="dxa"/>
            <w:tcBorders>
              <w:top w:val="single" w:sz="4" w:space="0" w:color="000000"/>
              <w:left w:val="single" w:sz="4" w:space="0" w:color="000000"/>
              <w:bottom w:val="single" w:sz="4" w:space="0" w:color="000000"/>
              <w:right w:val="single" w:sz="4" w:space="0" w:color="000000"/>
            </w:tcBorders>
            <w:vAlign w:val="center"/>
          </w:tcPr>
          <w:p w14:paraId="102FBCA9" w14:textId="77777777" w:rsidR="000A4214" w:rsidRDefault="00111391">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условних грла</w:t>
            </w:r>
          </w:p>
        </w:tc>
        <w:tc>
          <w:tcPr>
            <w:tcW w:w="2750" w:type="dxa"/>
            <w:tcBorders>
              <w:top w:val="single" w:sz="4" w:space="0" w:color="000000"/>
              <w:left w:val="single" w:sz="4" w:space="0" w:color="000000"/>
              <w:bottom w:val="single" w:sz="4" w:space="0" w:color="000000"/>
              <w:right w:val="single" w:sz="4" w:space="0" w:color="000000"/>
            </w:tcBorders>
            <w:vAlign w:val="center"/>
          </w:tcPr>
          <w:p w14:paraId="126552FD" w14:textId="77777777" w:rsidR="000A4214" w:rsidRDefault="00111391">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Број УГ на 100 ха КПЗ</w:t>
            </w:r>
          </w:p>
        </w:tc>
      </w:tr>
      <w:tr w:rsidR="000A4214" w14:paraId="68F5A6E4" w14:textId="77777777">
        <w:trPr>
          <w:jc w:val="center"/>
        </w:trPr>
        <w:tc>
          <w:tcPr>
            <w:tcW w:w="3781" w:type="dxa"/>
            <w:tcBorders>
              <w:top w:val="single" w:sz="4" w:space="0" w:color="000000"/>
              <w:left w:val="single" w:sz="4" w:space="0" w:color="000000"/>
              <w:bottom w:val="single" w:sz="4" w:space="0" w:color="000000"/>
              <w:right w:val="single" w:sz="4" w:space="0" w:color="000000"/>
            </w:tcBorders>
          </w:tcPr>
          <w:p w14:paraId="6DCE5818" w14:textId="77777777" w:rsidR="000A4214" w:rsidRDefault="00111391">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Република Србија</w:t>
            </w:r>
          </w:p>
        </w:tc>
        <w:tc>
          <w:tcPr>
            <w:tcW w:w="2526" w:type="dxa"/>
            <w:tcBorders>
              <w:top w:val="single" w:sz="4" w:space="0" w:color="000000"/>
              <w:left w:val="single" w:sz="4" w:space="0" w:color="000000"/>
              <w:bottom w:val="single" w:sz="4" w:space="0" w:color="000000"/>
              <w:right w:val="single" w:sz="4" w:space="0" w:color="000000"/>
            </w:tcBorders>
          </w:tcPr>
          <w:p w14:paraId="201686A8" w14:textId="77777777" w:rsidR="000A4214" w:rsidRDefault="00111391">
            <w:pPr>
              <w:widowControl w:val="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1.933.840</w:t>
            </w:r>
          </w:p>
        </w:tc>
        <w:tc>
          <w:tcPr>
            <w:tcW w:w="2750" w:type="dxa"/>
            <w:tcBorders>
              <w:top w:val="single" w:sz="4" w:space="0" w:color="000000"/>
              <w:left w:val="single" w:sz="4" w:space="0" w:color="000000"/>
              <w:bottom w:val="single" w:sz="4" w:space="0" w:color="000000"/>
              <w:right w:val="single" w:sz="4" w:space="0" w:color="000000"/>
            </w:tcBorders>
          </w:tcPr>
          <w:p w14:paraId="1B38B147" w14:textId="77777777" w:rsidR="000A4214" w:rsidRDefault="00111391">
            <w:pPr>
              <w:widowControl w:val="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r>
      <w:tr w:rsidR="000A4214" w14:paraId="31149FF2" w14:textId="77777777">
        <w:trPr>
          <w:jc w:val="center"/>
        </w:trPr>
        <w:tc>
          <w:tcPr>
            <w:tcW w:w="3781" w:type="dxa"/>
            <w:tcBorders>
              <w:top w:val="single" w:sz="4" w:space="0" w:color="000000"/>
              <w:left w:val="single" w:sz="4" w:space="0" w:color="000000"/>
              <w:bottom w:val="single" w:sz="4" w:space="0" w:color="000000"/>
              <w:right w:val="single" w:sz="4" w:space="0" w:color="000000"/>
            </w:tcBorders>
            <w:shd w:val="clear" w:color="auto" w:fill="DBE5F1"/>
          </w:tcPr>
          <w:p w14:paraId="33105837" w14:textId="77777777" w:rsidR="000A4214" w:rsidRDefault="00111391">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Врбас</w:t>
            </w:r>
          </w:p>
        </w:tc>
        <w:tc>
          <w:tcPr>
            <w:tcW w:w="2526" w:type="dxa"/>
            <w:tcBorders>
              <w:top w:val="single" w:sz="4" w:space="0" w:color="000000"/>
              <w:left w:val="single" w:sz="4" w:space="0" w:color="000000"/>
              <w:bottom w:val="single" w:sz="4" w:space="0" w:color="000000"/>
              <w:right w:val="single" w:sz="4" w:space="0" w:color="000000"/>
            </w:tcBorders>
            <w:shd w:val="clear" w:color="auto" w:fill="DBE5F1"/>
          </w:tcPr>
          <w:p w14:paraId="1514F23A" w14:textId="77777777" w:rsidR="000A4214" w:rsidRDefault="00111391">
            <w:pPr>
              <w:widowControl w:val="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22.904</w:t>
            </w:r>
          </w:p>
        </w:tc>
        <w:tc>
          <w:tcPr>
            <w:tcW w:w="2750" w:type="dxa"/>
            <w:tcBorders>
              <w:top w:val="single" w:sz="4" w:space="0" w:color="000000"/>
              <w:left w:val="single" w:sz="4" w:space="0" w:color="000000"/>
              <w:bottom w:val="single" w:sz="4" w:space="0" w:color="000000"/>
              <w:right w:val="single" w:sz="4" w:space="0" w:color="000000"/>
            </w:tcBorders>
            <w:shd w:val="clear" w:color="auto" w:fill="DBE5F1"/>
          </w:tcPr>
          <w:p w14:paraId="5F9D500B" w14:textId="77777777" w:rsidR="000A4214" w:rsidRDefault="00111391">
            <w:pPr>
              <w:widowControl w:val="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r>
    </w:tbl>
    <w:p w14:paraId="7F48DA9B" w14:textId="77777777" w:rsidR="000A4214" w:rsidRDefault="0011139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Индекс густине сточног фонда на нивоу ЕУ-28 у 2010. години износио је 78 условних грла/100 ха КПЗ (Eurostat, 2013).</w:t>
      </w:r>
    </w:p>
    <w:p w14:paraId="28F76864" w14:textId="77777777" w:rsidR="000A4214" w:rsidRDefault="0011139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Извор: </w:t>
      </w:r>
      <w:r>
        <w:rPr>
          <w:rFonts w:ascii="Times New Roman" w:eastAsia="Times New Roman" w:hAnsi="Times New Roman" w:cs="Times New Roman"/>
          <w:i/>
          <w:iCs/>
          <w:sz w:val="20"/>
          <w:szCs w:val="20"/>
        </w:rPr>
        <w:t>Анкета о структури пољопривредних газдинстава</w:t>
      </w:r>
      <w:r>
        <w:rPr>
          <w:rFonts w:ascii="Times New Roman" w:eastAsia="Times New Roman" w:hAnsi="Times New Roman" w:cs="Times New Roman"/>
          <w:sz w:val="20"/>
          <w:szCs w:val="20"/>
        </w:rPr>
        <w:t>, РЗС, 2018.</w:t>
      </w:r>
    </w:p>
    <w:p w14:paraId="366C9660"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Сточарском производњом на подручју општине бави се 62,4% укупног броја газдинстава (</w:t>
      </w:r>
      <w:r>
        <w:rPr>
          <w:rFonts w:ascii="Times New Roman" w:eastAsia="Times New Roman" w:hAnsi="Times New Roman" w:cs="Times New Roman"/>
          <w:i/>
          <w:iCs/>
          <w:sz w:val="24"/>
          <w:szCs w:val="24"/>
        </w:rPr>
        <w:t>Анкета о структури пољопривредних газдинстава</w:t>
      </w:r>
      <w:r>
        <w:rPr>
          <w:rFonts w:ascii="Times New Roman" w:eastAsia="Times New Roman" w:hAnsi="Times New Roman" w:cs="Times New Roman"/>
          <w:sz w:val="24"/>
          <w:szCs w:val="24"/>
        </w:rPr>
        <w:t>, 2018). Живина и свиње се налазе на највећем броју газдинстава које се баве сточарском производњом (67,7% и 63,9%), док се другим производњама у оквиру сточарства бави знатно мањи проценат газдинстава (Графикон 5).</w:t>
      </w:r>
    </w:p>
    <w:p w14:paraId="7ED1B6BD"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Графикон 5</w:t>
      </w:r>
      <w:r>
        <w:rPr>
          <w:rFonts w:ascii="Times New Roman" w:eastAsia="Times New Roman" w:hAnsi="Times New Roman" w:cs="Times New Roman"/>
          <w:sz w:val="24"/>
          <w:szCs w:val="24"/>
        </w:rPr>
        <w:t>. Структура газдинстава која гаје стоку на подручју општине (%), 2018.</w:t>
      </w:r>
    </w:p>
    <w:p w14:paraId="4E5C7702" w14:textId="77777777" w:rsidR="000A4214" w:rsidRDefault="00111391">
      <w:pPr>
        <w:spacing w:before="120" w:after="120" w:line="240" w:lineRule="auto"/>
        <w:jc w:val="both"/>
        <w:rPr>
          <w:rFonts w:ascii="Times New Roman" w:eastAsia="Times New Roman" w:hAnsi="Times New Roman" w:cs="Times New Roman"/>
          <w:sz w:val="24"/>
          <w:szCs w:val="24"/>
        </w:rPr>
      </w:pPr>
      <w:r>
        <w:rPr>
          <w:noProof/>
        </w:rPr>
        <w:drawing>
          <wp:inline distT="0" distB="0" distL="0" distR="0" wp14:anchorId="3B4028FB" wp14:editId="2770F489">
            <wp:extent cx="5328285" cy="225044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C4E556D" w14:textId="77777777" w:rsidR="000A4214" w:rsidRDefault="00111391">
      <w:pPr>
        <w:spacing w:before="6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Извор: </w:t>
      </w:r>
      <w:r>
        <w:rPr>
          <w:rFonts w:ascii="Times New Roman" w:eastAsia="Times New Roman" w:hAnsi="Times New Roman" w:cs="Times New Roman"/>
          <w:i/>
          <w:iCs/>
          <w:sz w:val="20"/>
          <w:szCs w:val="20"/>
        </w:rPr>
        <w:t>Анкета о структури пољопривредних газдинстава 2018. године</w:t>
      </w:r>
      <w:r>
        <w:rPr>
          <w:rFonts w:ascii="Times New Roman" w:eastAsia="Times New Roman" w:hAnsi="Times New Roman" w:cs="Times New Roman"/>
          <w:sz w:val="20"/>
          <w:szCs w:val="20"/>
        </w:rPr>
        <w:t>, РЗС, 2018.</w:t>
      </w:r>
    </w:p>
    <w:p w14:paraId="74301E4C"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подацима </w:t>
      </w:r>
      <w:r>
        <w:rPr>
          <w:rFonts w:ascii="Times New Roman" w:eastAsia="Times New Roman" w:hAnsi="Times New Roman" w:cs="Times New Roman"/>
          <w:i/>
          <w:iCs/>
          <w:sz w:val="24"/>
          <w:szCs w:val="24"/>
        </w:rPr>
        <w:t>Анкете о структури пољопривредних газдинстава 2018</w:t>
      </w:r>
      <w:r>
        <w:rPr>
          <w:rFonts w:ascii="Times New Roman" w:eastAsia="Times New Roman" w:hAnsi="Times New Roman" w:cs="Times New Roman"/>
          <w:sz w:val="24"/>
          <w:szCs w:val="24"/>
        </w:rPr>
        <w:t>, може се видети да се већи део сточарске производње на подручју општине обавља на газдинствима правних лица (58,9% укупног броја УГ).</w:t>
      </w:r>
    </w:p>
    <w:p w14:paraId="7507326E" w14:textId="77777777" w:rsidR="000A4214" w:rsidRDefault="00111391">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lastRenderedPageBreak/>
        <w:t>Говедарство</w:t>
      </w:r>
      <w:r>
        <w:rPr>
          <w:rFonts w:ascii="Times New Roman" w:eastAsia="Times New Roman" w:hAnsi="Times New Roman" w:cs="Times New Roman"/>
          <w:color w:val="000000"/>
          <w:sz w:val="24"/>
          <w:szCs w:val="24"/>
        </w:rPr>
        <w:t>. На 265 пољопривредних газдинстава налази се 6.419 грла говеда, а говедарском производњом се бави 15,9% газдинстава која се баве сточарском производњом. У укупном броју газдинстава која се баве говедарством највеће је учешће газдинстава са 3–9 грла (39,6%) и 1–2 грла (26,4%). Према процени Удружења пољопривредника општине Врбас на подручју општине сточарске фарме које се баве производњом млека располажу са мање од 20 грла. Произвођачи који се баве товом јунади, а тржишно су оријентисани, имају већином између 20 и 30 грла у турнусу. Таквих произвођача по процени наведеног Удружења има око 40.</w:t>
      </w:r>
    </w:p>
    <w:p w14:paraId="3026AAA9"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Свињарство</w:t>
      </w:r>
      <w:r>
        <w:rPr>
          <w:rFonts w:ascii="Times New Roman" w:eastAsia="Times New Roman" w:hAnsi="Times New Roman" w:cs="Times New Roman"/>
          <w:sz w:val="24"/>
          <w:szCs w:val="24"/>
        </w:rPr>
        <w:t>. Свињарством се бави 1.061 пољопривредних газдинстава на којима се налази 80.556 свиња. На газдинствима правних лица налази се 59.149 грла, а на газдинствима индивидуалних произвођача 21.407 грла. У укупном броју газдинстава које се баве овом производњом највеће учешће имају ПГ на којима се налази 3–9 грла (41,3%) и 1–2 грла (31,3%). На подручју општине постоји 7 или 8 индивидуалних произвођача, који на годишњем нивоу у тову имају преко 1.000 свиња (Удружење пољопривредника општине Врбас).</w:t>
      </w:r>
    </w:p>
    <w:p w14:paraId="566DE33E"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Овчарство</w:t>
      </w:r>
      <w:r>
        <w:rPr>
          <w:rFonts w:ascii="Times New Roman" w:eastAsia="Times New Roman" w:hAnsi="Times New Roman" w:cs="Times New Roman"/>
          <w:sz w:val="24"/>
          <w:szCs w:val="24"/>
        </w:rPr>
        <w:t>. На 152 газдинства на подручју општине налази се 2.581 грло. Највећи број грла оваца налази се на газдинствима која имају 10–19 грла (38,4%) и 3–9 грла (37,1%). По процени Удружења пољопривредника општине Врбас, на подручју општине постоји 4 или 5 произвођача који имају између 300 и 400 грла. Ови произвођачи користе пашњаке за испашу оваца (у Савином Селу), као и део уз Канал ДТД.</w:t>
      </w:r>
    </w:p>
    <w:p w14:paraId="50B3B729"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Козарство</w:t>
      </w:r>
      <w:r>
        <w:rPr>
          <w:rFonts w:ascii="Times New Roman" w:eastAsia="Times New Roman" w:hAnsi="Times New Roman" w:cs="Times New Roman"/>
          <w:sz w:val="24"/>
          <w:szCs w:val="24"/>
        </w:rPr>
        <w:t xml:space="preserve">. По подацима </w:t>
      </w:r>
      <w:r>
        <w:rPr>
          <w:rFonts w:ascii="Times New Roman" w:eastAsia="Times New Roman" w:hAnsi="Times New Roman" w:cs="Times New Roman"/>
          <w:i/>
          <w:iCs/>
          <w:sz w:val="24"/>
          <w:szCs w:val="24"/>
        </w:rPr>
        <w:t>Анкете о структури пољопривредних газдинстава 2018</w:t>
      </w:r>
      <w:r>
        <w:rPr>
          <w:rFonts w:ascii="Times New Roman" w:eastAsia="Times New Roman" w:hAnsi="Times New Roman" w:cs="Times New Roman"/>
          <w:sz w:val="24"/>
          <w:szCs w:val="24"/>
        </w:rPr>
        <w:t xml:space="preserve"> козарском производњом се бави 241 газдинство, на којима се налази 2.031 грло. Највећи број газдинстава има 3–9 грла коза (45,2%), а само једно газдинство има више од 50 грла коза. Козарством се баве искључиво породична пољопривредна газдинства, а по процени Удружења пољопривредника општине Врбас не постоје већи произвођачи.</w:t>
      </w:r>
    </w:p>
    <w:p w14:paraId="1986807B"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Живинарство</w:t>
      </w:r>
      <w:r>
        <w:rPr>
          <w:rFonts w:ascii="Times New Roman" w:eastAsia="Times New Roman" w:hAnsi="Times New Roman" w:cs="Times New Roman"/>
          <w:sz w:val="24"/>
          <w:szCs w:val="24"/>
        </w:rPr>
        <w:t>. На 1.124 газдинства налазило се 96.167</w:t>
      </w:r>
      <w:r>
        <w:rPr>
          <w:rFonts w:ascii="Times New Roman" w:eastAsia="Times New Roman" w:hAnsi="Times New Roman" w:cs="Times New Roman"/>
          <w:sz w:val="24"/>
          <w:szCs w:val="24"/>
          <w:highlight w:val="white"/>
        </w:rPr>
        <w:t xml:space="preserve"> грла живине </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Анкета о структури пољопривредних газдинстава 2018</w:t>
      </w:r>
      <w:r>
        <w:rPr>
          <w:rFonts w:ascii="Times New Roman" w:eastAsia="Times New Roman" w:hAnsi="Times New Roman" w:cs="Times New Roman"/>
          <w:sz w:val="24"/>
          <w:szCs w:val="24"/>
        </w:rPr>
        <w:t>)</w:t>
      </w:r>
      <w:r>
        <w:rPr>
          <w:rFonts w:ascii="Times New Roman" w:eastAsia="Times New Roman" w:hAnsi="Times New Roman" w:cs="Times New Roman"/>
          <w:sz w:val="24"/>
          <w:szCs w:val="24"/>
          <w:highlight w:val="white"/>
        </w:rPr>
        <w:t>. Код узгоја к</w:t>
      </w:r>
      <w:r>
        <w:rPr>
          <w:rFonts w:ascii="Times New Roman" w:eastAsia="Times New Roman" w:hAnsi="Times New Roman" w:cs="Times New Roman"/>
          <w:sz w:val="24"/>
          <w:szCs w:val="24"/>
        </w:rPr>
        <w:t>окошки носиља, у укупном броју газдинстава које се баве овом производњом, највеће је учешће газдинстава која држе 1–49 грла (97,5%). Ако се анализира узгој бројлера највеће је учешће газдинстава на којима има 1–49 бројлера (76,8%), а затим газдинства са 50–99 грла (17,7%), док остала газдинства имају учешће мање од 4%.</w:t>
      </w:r>
    </w:p>
    <w:p w14:paraId="57FBA754" w14:textId="77777777" w:rsidR="000A4214" w:rsidRDefault="00111391">
      <w:pPr>
        <w:spacing w:before="24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2.5. Пчеларство и рибарство</w:t>
      </w:r>
    </w:p>
    <w:p w14:paraId="6C4F27A4" w14:textId="791237BD"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Општина Врбас обухвата 5 насеља са укупно 56 пољопривредних газдинстава која се баве пчеларством и једним газдинством које се бави рибарством. Са укупним бројем газдинстава која се баве пчеларством општина Врбас учествује са 8,6% у укупном броју газдинстава у Јужнобачкој области која броји 653 газдинства. Са укупним бројем пчелињих друштава од 1.328, учествује са 5,9% у укупном броју на нивоу Јужнобачке области.</w:t>
      </w:r>
    </w:p>
    <w:p w14:paraId="33B0AE86" w14:textId="77777777" w:rsidR="000A4214" w:rsidRDefault="0011139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Врбас истиче се по броју газдинстава (22) и по броју укупних пчелињих друштава (430), од чега је 382 са покретним системом и 45 са непокретним системом. Ово насеље са укупним бројем пчелињих друштава учествује са највећим процентом од 32,4% у укупном броју пчелињих друштава која припадају општини Врбас.</w:t>
      </w:r>
    </w:p>
    <w:p w14:paraId="6D969AA5" w14:textId="77777777" w:rsidR="00C06A21" w:rsidRDefault="00C06A21">
      <w:pPr>
        <w:spacing w:before="120" w:after="60" w:line="240" w:lineRule="auto"/>
        <w:jc w:val="both"/>
        <w:rPr>
          <w:rFonts w:ascii="Times New Roman" w:eastAsia="Times New Roman" w:hAnsi="Times New Roman" w:cs="Times New Roman"/>
          <w:b/>
          <w:sz w:val="24"/>
          <w:szCs w:val="24"/>
        </w:rPr>
      </w:pPr>
    </w:p>
    <w:p w14:paraId="2F45FC5E" w14:textId="77777777" w:rsidR="00C06A21" w:rsidRDefault="00C06A21">
      <w:pPr>
        <w:spacing w:before="120" w:after="60" w:line="240" w:lineRule="auto"/>
        <w:jc w:val="both"/>
        <w:rPr>
          <w:rFonts w:ascii="Times New Roman" w:eastAsia="Times New Roman" w:hAnsi="Times New Roman" w:cs="Times New Roman"/>
          <w:b/>
          <w:sz w:val="24"/>
          <w:szCs w:val="24"/>
        </w:rPr>
      </w:pPr>
    </w:p>
    <w:p w14:paraId="3CF0B310" w14:textId="77777777" w:rsidR="00C06A21" w:rsidRDefault="00C06A21">
      <w:pPr>
        <w:spacing w:before="120" w:after="60" w:line="240" w:lineRule="auto"/>
        <w:jc w:val="both"/>
        <w:rPr>
          <w:rFonts w:ascii="Times New Roman" w:eastAsia="Times New Roman" w:hAnsi="Times New Roman" w:cs="Times New Roman"/>
          <w:b/>
          <w:sz w:val="24"/>
          <w:szCs w:val="24"/>
        </w:rPr>
      </w:pPr>
    </w:p>
    <w:p w14:paraId="1C240C8B" w14:textId="2AEF6489" w:rsidR="000A4214" w:rsidRDefault="00111391">
      <w:p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Табела 9. </w:t>
      </w:r>
      <w:r>
        <w:rPr>
          <w:rFonts w:ascii="Times New Roman" w:eastAsia="Times New Roman" w:hAnsi="Times New Roman" w:cs="Times New Roman"/>
          <w:sz w:val="24"/>
          <w:szCs w:val="24"/>
        </w:rPr>
        <w:t>Преглед стања пчеларства и рибарства по газдинствима у општини Врбас</w:t>
      </w:r>
    </w:p>
    <w:tbl>
      <w:tblPr>
        <w:tblW w:w="9026" w:type="dxa"/>
        <w:jc w:val="center"/>
        <w:tblLayout w:type="fixed"/>
        <w:tblLook w:val="0400" w:firstRow="0" w:lastRow="0" w:firstColumn="0" w:lastColumn="0" w:noHBand="0" w:noVBand="1"/>
      </w:tblPr>
      <w:tblGrid>
        <w:gridCol w:w="1425"/>
        <w:gridCol w:w="1461"/>
        <w:gridCol w:w="1380"/>
        <w:gridCol w:w="1410"/>
        <w:gridCol w:w="1658"/>
        <w:gridCol w:w="1692"/>
      </w:tblGrid>
      <w:tr w:rsidR="000A4214" w14:paraId="212A897D" w14:textId="77777777">
        <w:trPr>
          <w:jc w:val="center"/>
        </w:trPr>
        <w:tc>
          <w:tcPr>
            <w:tcW w:w="1424" w:type="dxa"/>
            <w:tcBorders>
              <w:top w:val="single" w:sz="4" w:space="0" w:color="000000"/>
              <w:left w:val="single" w:sz="4" w:space="0" w:color="000000"/>
              <w:bottom w:val="single" w:sz="4" w:space="0" w:color="000000"/>
              <w:right w:val="single" w:sz="4" w:space="0" w:color="000000"/>
            </w:tcBorders>
            <w:vAlign w:val="center"/>
          </w:tcPr>
          <w:p w14:paraId="2E01FD60"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ЈЛС</w:t>
            </w:r>
          </w:p>
        </w:tc>
        <w:tc>
          <w:tcPr>
            <w:tcW w:w="1461" w:type="dxa"/>
            <w:tcBorders>
              <w:top w:val="single" w:sz="4" w:space="0" w:color="000000"/>
              <w:left w:val="single" w:sz="4" w:space="0" w:color="000000"/>
              <w:bottom w:val="single" w:sz="4" w:space="0" w:color="000000"/>
              <w:right w:val="single" w:sz="4" w:space="0" w:color="000000"/>
            </w:tcBorders>
            <w:vAlign w:val="center"/>
          </w:tcPr>
          <w:p w14:paraId="1D620D4A"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Број газдинстава</w:t>
            </w:r>
          </w:p>
        </w:tc>
        <w:tc>
          <w:tcPr>
            <w:tcW w:w="1380" w:type="dxa"/>
            <w:tcBorders>
              <w:top w:val="single" w:sz="4" w:space="0" w:color="000000"/>
              <w:left w:val="single" w:sz="4" w:space="0" w:color="000000"/>
              <w:bottom w:val="single" w:sz="8" w:space="0" w:color="000000"/>
              <w:right w:val="single" w:sz="4" w:space="0" w:color="000000"/>
            </w:tcBorders>
            <w:vAlign w:val="center"/>
          </w:tcPr>
          <w:p w14:paraId="55A49950"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Укупан број пчелињих друштава</w:t>
            </w:r>
          </w:p>
        </w:tc>
        <w:tc>
          <w:tcPr>
            <w:tcW w:w="1410" w:type="dxa"/>
            <w:tcBorders>
              <w:top w:val="single" w:sz="4" w:space="0" w:color="000000"/>
              <w:left w:val="single" w:sz="4" w:space="0" w:color="000000"/>
              <w:bottom w:val="single" w:sz="6" w:space="0" w:color="000000"/>
              <w:right w:val="single" w:sz="4" w:space="0" w:color="000000"/>
            </w:tcBorders>
            <w:vAlign w:val="center"/>
          </w:tcPr>
          <w:p w14:paraId="269A6C34"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Кошнице са покретним саћем</w:t>
            </w:r>
          </w:p>
        </w:tc>
        <w:tc>
          <w:tcPr>
            <w:tcW w:w="1658" w:type="dxa"/>
            <w:tcBorders>
              <w:top w:val="single" w:sz="4" w:space="0" w:color="000000"/>
              <w:left w:val="single" w:sz="4" w:space="0" w:color="000000"/>
              <w:bottom w:val="single" w:sz="8" w:space="0" w:color="000000"/>
              <w:right w:val="single" w:sz="4" w:space="0" w:color="000000"/>
            </w:tcBorders>
            <w:vAlign w:val="center"/>
          </w:tcPr>
          <w:p w14:paraId="0D35CE13"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Кошнице са непокретним саћем</w:t>
            </w:r>
          </w:p>
        </w:tc>
        <w:tc>
          <w:tcPr>
            <w:tcW w:w="1692" w:type="dxa"/>
            <w:tcBorders>
              <w:top w:val="single" w:sz="4" w:space="0" w:color="000000"/>
              <w:left w:val="single" w:sz="4" w:space="0" w:color="000000"/>
              <w:bottom w:val="single" w:sz="4" w:space="0" w:color="000000"/>
              <w:right w:val="single" w:sz="4" w:space="0" w:color="000000"/>
            </w:tcBorders>
            <w:vAlign w:val="center"/>
          </w:tcPr>
          <w:p w14:paraId="642F77CE"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 xml:space="preserve">Узгој рибе </w:t>
            </w:r>
            <w:r>
              <w:rPr>
                <w:rFonts w:ascii="Times New Roman" w:eastAsia="Times New Roman" w:hAnsi="Times New Roman" w:cs="Times New Roman"/>
                <w:b/>
                <w:sz w:val="24"/>
                <w:szCs w:val="24"/>
              </w:rPr>
              <w:t xml:space="preserve">– </w:t>
            </w:r>
          </w:p>
          <w:p w14:paraId="0C140FED"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пољ.</w:t>
            </w:r>
          </w:p>
          <w:p w14:paraId="78B3B4C3"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газдинства</w:t>
            </w:r>
          </w:p>
        </w:tc>
      </w:tr>
      <w:tr w:rsidR="000A4214" w14:paraId="7DD5566C"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77E94292"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Јужнобачка област</w:t>
            </w:r>
          </w:p>
        </w:tc>
        <w:tc>
          <w:tcPr>
            <w:tcW w:w="1461" w:type="dxa"/>
            <w:tcBorders>
              <w:top w:val="single" w:sz="4" w:space="0" w:color="000000"/>
              <w:left w:val="single" w:sz="4" w:space="0" w:color="000000"/>
              <w:bottom w:val="single" w:sz="4" w:space="0" w:color="000000"/>
              <w:right w:val="single" w:sz="8" w:space="0" w:color="000000"/>
            </w:tcBorders>
            <w:vAlign w:val="center"/>
          </w:tcPr>
          <w:p w14:paraId="4AABC3C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653</w:t>
            </w:r>
          </w:p>
        </w:tc>
        <w:tc>
          <w:tcPr>
            <w:tcW w:w="1380" w:type="dxa"/>
            <w:tcBorders>
              <w:top w:val="single" w:sz="8" w:space="0" w:color="000000"/>
              <w:left w:val="single" w:sz="8" w:space="0" w:color="000000"/>
              <w:bottom w:val="single" w:sz="8" w:space="0" w:color="000000"/>
              <w:right w:val="single" w:sz="8" w:space="0" w:color="1D2228"/>
            </w:tcBorders>
            <w:vAlign w:val="center"/>
          </w:tcPr>
          <w:p w14:paraId="3A82F3D3"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22.617</w:t>
            </w:r>
          </w:p>
        </w:tc>
        <w:tc>
          <w:tcPr>
            <w:tcW w:w="1410" w:type="dxa"/>
            <w:tcBorders>
              <w:top w:val="single" w:sz="6" w:space="0" w:color="000000"/>
              <w:left w:val="single" w:sz="8" w:space="0" w:color="1D2228"/>
              <w:bottom w:val="single" w:sz="8" w:space="0" w:color="1D2228"/>
              <w:right w:val="single" w:sz="8" w:space="0" w:color="1D2228"/>
            </w:tcBorders>
            <w:tcMar>
              <w:top w:w="100" w:type="dxa"/>
              <w:left w:w="100" w:type="dxa"/>
              <w:bottom w:w="100" w:type="dxa"/>
              <w:right w:w="100" w:type="dxa"/>
            </w:tcMar>
          </w:tcPr>
          <w:p w14:paraId="4CD0BE84"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20.829</w:t>
            </w:r>
          </w:p>
        </w:tc>
        <w:tc>
          <w:tcPr>
            <w:tcW w:w="1658" w:type="dxa"/>
            <w:tcBorders>
              <w:top w:val="single" w:sz="8" w:space="0" w:color="000000"/>
              <w:left w:val="single" w:sz="8" w:space="0" w:color="1D2228"/>
              <w:bottom w:val="single" w:sz="8" w:space="0" w:color="000000"/>
              <w:right w:val="single" w:sz="8" w:space="0" w:color="000000"/>
            </w:tcBorders>
            <w:tcMar>
              <w:top w:w="100" w:type="dxa"/>
              <w:left w:w="100" w:type="dxa"/>
              <w:bottom w:w="100" w:type="dxa"/>
              <w:right w:w="100" w:type="dxa"/>
            </w:tcMar>
          </w:tcPr>
          <w:p w14:paraId="7F29B81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1.588</w:t>
            </w:r>
          </w:p>
        </w:tc>
        <w:tc>
          <w:tcPr>
            <w:tcW w:w="1692" w:type="dxa"/>
            <w:tcBorders>
              <w:top w:val="single" w:sz="4" w:space="0" w:color="000000"/>
              <w:left w:val="single" w:sz="8" w:space="0" w:color="000000"/>
              <w:bottom w:val="single" w:sz="4" w:space="0" w:color="000000"/>
              <w:right w:val="single" w:sz="4" w:space="0" w:color="000000"/>
            </w:tcBorders>
            <w:vAlign w:val="center"/>
          </w:tcPr>
          <w:p w14:paraId="7E898C3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17</w:t>
            </w:r>
          </w:p>
        </w:tc>
      </w:tr>
      <w:tr w:rsidR="000A4214" w14:paraId="1556C4DF" w14:textId="77777777">
        <w:trPr>
          <w:jc w:val="center"/>
        </w:trPr>
        <w:tc>
          <w:tcPr>
            <w:tcW w:w="1424" w:type="dxa"/>
            <w:tcBorders>
              <w:top w:val="single" w:sz="4" w:space="0" w:color="000000"/>
              <w:left w:val="single" w:sz="4" w:space="0" w:color="000000"/>
              <w:bottom w:val="single" w:sz="4" w:space="0" w:color="000000"/>
              <w:right w:val="single" w:sz="4" w:space="0" w:color="000000"/>
            </w:tcBorders>
            <w:shd w:val="clear" w:color="auto" w:fill="DBE5F1"/>
          </w:tcPr>
          <w:p w14:paraId="7C6166D7"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Општина Врбас</w:t>
            </w:r>
          </w:p>
        </w:tc>
        <w:tc>
          <w:tcPr>
            <w:tcW w:w="146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FB33ED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56</w:t>
            </w:r>
          </w:p>
        </w:tc>
        <w:tc>
          <w:tcPr>
            <w:tcW w:w="1380" w:type="dxa"/>
            <w:tcBorders>
              <w:top w:val="single" w:sz="8" w:space="0" w:color="000000"/>
              <w:left w:val="single" w:sz="4" w:space="0" w:color="000000"/>
              <w:bottom w:val="single" w:sz="4" w:space="0" w:color="000000"/>
              <w:right w:val="single" w:sz="8" w:space="0" w:color="000000"/>
            </w:tcBorders>
            <w:shd w:val="clear" w:color="auto" w:fill="DBE5F1"/>
            <w:vAlign w:val="center"/>
          </w:tcPr>
          <w:p w14:paraId="5A7DA36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1.328</w:t>
            </w:r>
          </w:p>
        </w:tc>
        <w:tc>
          <w:tcPr>
            <w:tcW w:w="1410" w:type="dxa"/>
            <w:tcBorders>
              <w:top w:val="single" w:sz="8" w:space="0" w:color="1D2228"/>
              <w:left w:val="single" w:sz="8" w:space="0" w:color="000000"/>
              <w:bottom w:val="single" w:sz="8" w:space="0" w:color="000000"/>
              <w:right w:val="single" w:sz="8" w:space="0" w:color="000000"/>
            </w:tcBorders>
            <w:shd w:val="clear" w:color="auto" w:fill="DBE5F1"/>
            <w:vAlign w:val="center"/>
          </w:tcPr>
          <w:p w14:paraId="20F196B5"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1.150</w:t>
            </w:r>
          </w:p>
        </w:tc>
        <w:tc>
          <w:tcPr>
            <w:tcW w:w="1658" w:type="dxa"/>
            <w:tcBorders>
              <w:top w:val="single" w:sz="8" w:space="0" w:color="000000"/>
              <w:left w:val="single" w:sz="8" w:space="0" w:color="000000"/>
              <w:bottom w:val="single" w:sz="4" w:space="0" w:color="000000"/>
              <w:right w:val="single" w:sz="4" w:space="0" w:color="000000"/>
            </w:tcBorders>
            <w:shd w:val="clear" w:color="auto" w:fill="DBE5F1"/>
            <w:vAlign w:val="center"/>
          </w:tcPr>
          <w:p w14:paraId="6F2F68C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158</w:t>
            </w:r>
          </w:p>
        </w:tc>
        <w:tc>
          <w:tcPr>
            <w:tcW w:w="169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8D2AD8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r w:rsidR="000A4214" w14:paraId="5DCC86BB" w14:textId="77777777">
        <w:trPr>
          <w:jc w:val="center"/>
        </w:trPr>
        <w:tc>
          <w:tcPr>
            <w:tcW w:w="9025" w:type="dxa"/>
            <w:gridSpan w:val="6"/>
            <w:tcBorders>
              <w:top w:val="single" w:sz="4" w:space="0" w:color="000000"/>
              <w:left w:val="single" w:sz="4" w:space="0" w:color="000000"/>
              <w:bottom w:val="single" w:sz="4" w:space="0" w:color="000000"/>
              <w:right w:val="single" w:sz="4" w:space="0" w:color="000000"/>
            </w:tcBorders>
          </w:tcPr>
          <w:p w14:paraId="3CCB496C" w14:textId="77777777" w:rsidR="000A4214" w:rsidRDefault="00111391">
            <w:pPr>
              <w:widowControl w:val="0"/>
              <w:jc w:val="center"/>
              <w:rPr>
                <w:rFonts w:ascii="Times New Roman" w:eastAsia="Times New Roman" w:hAnsi="Times New Roman" w:cs="Times New Roman"/>
              </w:rPr>
            </w:pPr>
            <w:r>
              <w:rPr>
                <w:rFonts w:ascii="Times New Roman" w:eastAsia="Times New Roman" w:hAnsi="Times New Roman" w:cs="Times New Roman"/>
                <w:b/>
              </w:rPr>
              <w:t>Насеља општине Врбас</w:t>
            </w:r>
          </w:p>
        </w:tc>
      </w:tr>
      <w:tr w:rsidR="000A4214" w14:paraId="040F7F81"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0A598D40"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Бачко Добро Поље</w:t>
            </w:r>
          </w:p>
        </w:tc>
        <w:tc>
          <w:tcPr>
            <w:tcW w:w="1461" w:type="dxa"/>
            <w:tcBorders>
              <w:top w:val="single" w:sz="4" w:space="0" w:color="000000"/>
              <w:left w:val="single" w:sz="4" w:space="0" w:color="000000"/>
              <w:bottom w:val="single" w:sz="4" w:space="0" w:color="000000"/>
              <w:right w:val="single" w:sz="4" w:space="0" w:color="000000"/>
            </w:tcBorders>
            <w:vAlign w:val="center"/>
          </w:tcPr>
          <w:p w14:paraId="288C9782"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9</w:t>
            </w:r>
          </w:p>
        </w:tc>
        <w:tc>
          <w:tcPr>
            <w:tcW w:w="1380" w:type="dxa"/>
            <w:tcBorders>
              <w:top w:val="single" w:sz="4" w:space="0" w:color="000000"/>
              <w:left w:val="single" w:sz="4" w:space="0" w:color="000000"/>
              <w:bottom w:val="single" w:sz="4" w:space="0" w:color="000000"/>
              <w:right w:val="single" w:sz="4" w:space="0" w:color="000000"/>
            </w:tcBorders>
            <w:vAlign w:val="center"/>
          </w:tcPr>
          <w:p w14:paraId="349D261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114</w:t>
            </w:r>
          </w:p>
        </w:tc>
        <w:tc>
          <w:tcPr>
            <w:tcW w:w="1410" w:type="dxa"/>
            <w:tcBorders>
              <w:top w:val="single" w:sz="4" w:space="0" w:color="000000"/>
              <w:left w:val="single" w:sz="4" w:space="0" w:color="000000"/>
              <w:bottom w:val="single" w:sz="4" w:space="0" w:color="000000"/>
              <w:right w:val="single" w:sz="4" w:space="0" w:color="000000"/>
            </w:tcBorders>
            <w:vAlign w:val="center"/>
          </w:tcPr>
          <w:p w14:paraId="0BCB7F0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71</w:t>
            </w:r>
          </w:p>
        </w:tc>
        <w:tc>
          <w:tcPr>
            <w:tcW w:w="1658" w:type="dxa"/>
            <w:tcBorders>
              <w:top w:val="single" w:sz="4" w:space="0" w:color="000000"/>
              <w:left w:val="single" w:sz="4" w:space="0" w:color="000000"/>
              <w:bottom w:val="single" w:sz="4" w:space="0" w:color="000000"/>
              <w:right w:val="single" w:sz="4" w:space="0" w:color="000000"/>
            </w:tcBorders>
            <w:vAlign w:val="center"/>
          </w:tcPr>
          <w:p w14:paraId="18D5D3C4"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43</w:t>
            </w:r>
          </w:p>
        </w:tc>
        <w:tc>
          <w:tcPr>
            <w:tcW w:w="1692" w:type="dxa"/>
            <w:tcBorders>
              <w:top w:val="single" w:sz="4" w:space="0" w:color="000000"/>
              <w:left w:val="single" w:sz="4" w:space="0" w:color="000000"/>
              <w:bottom w:val="single" w:sz="4" w:space="0" w:color="000000"/>
              <w:right w:val="single" w:sz="4" w:space="0" w:color="000000"/>
            </w:tcBorders>
            <w:vAlign w:val="center"/>
          </w:tcPr>
          <w:p w14:paraId="5E29C8F6"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r w:rsidR="000A4214" w14:paraId="41054D8B"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619B2E2F"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Врбас</w:t>
            </w:r>
          </w:p>
        </w:tc>
        <w:tc>
          <w:tcPr>
            <w:tcW w:w="1461" w:type="dxa"/>
            <w:tcBorders>
              <w:top w:val="single" w:sz="4" w:space="0" w:color="000000"/>
              <w:left w:val="single" w:sz="4" w:space="0" w:color="000000"/>
              <w:bottom w:val="single" w:sz="4" w:space="0" w:color="000000"/>
              <w:right w:val="single" w:sz="4" w:space="0" w:color="000000"/>
            </w:tcBorders>
            <w:vAlign w:val="center"/>
          </w:tcPr>
          <w:p w14:paraId="1947B55E"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22</w:t>
            </w:r>
          </w:p>
        </w:tc>
        <w:tc>
          <w:tcPr>
            <w:tcW w:w="1380" w:type="dxa"/>
            <w:tcBorders>
              <w:top w:val="single" w:sz="4" w:space="0" w:color="000000"/>
              <w:left w:val="single" w:sz="4" w:space="0" w:color="000000"/>
              <w:bottom w:val="single" w:sz="4" w:space="0" w:color="000000"/>
              <w:right w:val="single" w:sz="4" w:space="0" w:color="000000"/>
            </w:tcBorders>
            <w:vAlign w:val="center"/>
          </w:tcPr>
          <w:p w14:paraId="6F058706"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430</w:t>
            </w:r>
          </w:p>
        </w:tc>
        <w:tc>
          <w:tcPr>
            <w:tcW w:w="1410" w:type="dxa"/>
            <w:tcBorders>
              <w:top w:val="single" w:sz="4" w:space="0" w:color="000000"/>
              <w:left w:val="single" w:sz="4" w:space="0" w:color="000000"/>
              <w:bottom w:val="single" w:sz="4" w:space="0" w:color="000000"/>
              <w:right w:val="single" w:sz="4" w:space="0" w:color="000000"/>
            </w:tcBorders>
            <w:vAlign w:val="center"/>
          </w:tcPr>
          <w:p w14:paraId="4219F40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382</w:t>
            </w:r>
          </w:p>
        </w:tc>
        <w:tc>
          <w:tcPr>
            <w:tcW w:w="1658" w:type="dxa"/>
            <w:tcBorders>
              <w:top w:val="single" w:sz="4" w:space="0" w:color="000000"/>
              <w:left w:val="single" w:sz="4" w:space="0" w:color="000000"/>
              <w:bottom w:val="single" w:sz="4" w:space="0" w:color="000000"/>
              <w:right w:val="single" w:sz="4" w:space="0" w:color="000000"/>
            </w:tcBorders>
            <w:vAlign w:val="center"/>
          </w:tcPr>
          <w:p w14:paraId="78B2A9E5"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45</w:t>
            </w:r>
          </w:p>
        </w:tc>
        <w:tc>
          <w:tcPr>
            <w:tcW w:w="1692" w:type="dxa"/>
            <w:tcBorders>
              <w:top w:val="single" w:sz="4" w:space="0" w:color="000000"/>
              <w:left w:val="single" w:sz="4" w:space="0" w:color="000000"/>
              <w:bottom w:val="single" w:sz="4" w:space="0" w:color="000000"/>
              <w:right w:val="single" w:sz="4" w:space="0" w:color="000000"/>
            </w:tcBorders>
            <w:vAlign w:val="center"/>
          </w:tcPr>
          <w:p w14:paraId="792CA6BB"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r w:rsidR="000A4214" w14:paraId="2E8B1012"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037C9FD9"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Змајево</w:t>
            </w:r>
          </w:p>
        </w:tc>
        <w:tc>
          <w:tcPr>
            <w:tcW w:w="1461" w:type="dxa"/>
            <w:tcBorders>
              <w:top w:val="single" w:sz="4" w:space="0" w:color="000000"/>
              <w:left w:val="single" w:sz="4" w:space="0" w:color="000000"/>
              <w:bottom w:val="single" w:sz="4" w:space="0" w:color="000000"/>
              <w:right w:val="single" w:sz="4" w:space="0" w:color="000000"/>
            </w:tcBorders>
            <w:vAlign w:val="center"/>
          </w:tcPr>
          <w:p w14:paraId="5F0CECD8"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380" w:type="dxa"/>
            <w:tcBorders>
              <w:top w:val="single" w:sz="4" w:space="0" w:color="000000"/>
              <w:left w:val="single" w:sz="4" w:space="0" w:color="000000"/>
              <w:bottom w:val="single" w:sz="4" w:space="0" w:color="000000"/>
              <w:right w:val="single" w:sz="4" w:space="0" w:color="000000"/>
            </w:tcBorders>
            <w:vAlign w:val="center"/>
          </w:tcPr>
          <w:p w14:paraId="0DE71056"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410" w:type="dxa"/>
            <w:tcBorders>
              <w:top w:val="single" w:sz="4" w:space="0" w:color="000000"/>
              <w:left w:val="single" w:sz="4" w:space="0" w:color="000000"/>
              <w:bottom w:val="single" w:sz="4" w:space="0" w:color="000000"/>
              <w:right w:val="single" w:sz="4" w:space="0" w:color="000000"/>
            </w:tcBorders>
            <w:vAlign w:val="center"/>
          </w:tcPr>
          <w:p w14:paraId="746A5C0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658" w:type="dxa"/>
            <w:tcBorders>
              <w:top w:val="single" w:sz="4" w:space="0" w:color="000000"/>
              <w:left w:val="single" w:sz="4" w:space="0" w:color="000000"/>
              <w:bottom w:val="single" w:sz="4" w:space="0" w:color="000000"/>
              <w:right w:val="single" w:sz="4" w:space="0" w:color="000000"/>
            </w:tcBorders>
            <w:vAlign w:val="center"/>
          </w:tcPr>
          <w:p w14:paraId="2F586503"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692" w:type="dxa"/>
            <w:tcBorders>
              <w:top w:val="single" w:sz="4" w:space="0" w:color="000000"/>
              <w:left w:val="single" w:sz="4" w:space="0" w:color="000000"/>
              <w:bottom w:val="single" w:sz="4" w:space="0" w:color="000000"/>
              <w:right w:val="single" w:sz="4" w:space="0" w:color="000000"/>
            </w:tcBorders>
            <w:vAlign w:val="center"/>
          </w:tcPr>
          <w:p w14:paraId="6D27E50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r w:rsidR="000A4214" w14:paraId="49E2A267"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27F44F31"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Косанчић</w:t>
            </w:r>
          </w:p>
        </w:tc>
        <w:tc>
          <w:tcPr>
            <w:tcW w:w="1461" w:type="dxa"/>
            <w:tcBorders>
              <w:top w:val="single" w:sz="4" w:space="0" w:color="000000"/>
              <w:left w:val="single" w:sz="4" w:space="0" w:color="000000"/>
              <w:bottom w:val="single" w:sz="4" w:space="0" w:color="000000"/>
              <w:right w:val="single" w:sz="4" w:space="0" w:color="000000"/>
            </w:tcBorders>
            <w:vAlign w:val="center"/>
          </w:tcPr>
          <w:p w14:paraId="628EDDAB"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380" w:type="dxa"/>
            <w:tcBorders>
              <w:top w:val="single" w:sz="4" w:space="0" w:color="000000"/>
              <w:left w:val="single" w:sz="4" w:space="0" w:color="000000"/>
              <w:bottom w:val="single" w:sz="4" w:space="0" w:color="000000"/>
              <w:right w:val="single" w:sz="4" w:space="0" w:color="000000"/>
            </w:tcBorders>
            <w:vAlign w:val="center"/>
          </w:tcPr>
          <w:p w14:paraId="1DDAE548"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410" w:type="dxa"/>
            <w:tcBorders>
              <w:top w:val="single" w:sz="4" w:space="0" w:color="000000"/>
              <w:left w:val="single" w:sz="4" w:space="0" w:color="000000"/>
              <w:bottom w:val="single" w:sz="4" w:space="0" w:color="000000"/>
              <w:right w:val="single" w:sz="4" w:space="0" w:color="000000"/>
            </w:tcBorders>
            <w:vAlign w:val="center"/>
          </w:tcPr>
          <w:p w14:paraId="719AADCE"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658" w:type="dxa"/>
            <w:tcBorders>
              <w:top w:val="single" w:sz="4" w:space="0" w:color="000000"/>
              <w:left w:val="single" w:sz="4" w:space="0" w:color="000000"/>
              <w:bottom w:val="single" w:sz="4" w:space="0" w:color="000000"/>
              <w:right w:val="single" w:sz="4" w:space="0" w:color="000000"/>
            </w:tcBorders>
            <w:vAlign w:val="center"/>
          </w:tcPr>
          <w:p w14:paraId="560AAFF2"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692" w:type="dxa"/>
            <w:tcBorders>
              <w:top w:val="single" w:sz="4" w:space="0" w:color="000000"/>
              <w:left w:val="single" w:sz="4" w:space="0" w:color="000000"/>
              <w:bottom w:val="single" w:sz="4" w:space="0" w:color="000000"/>
              <w:right w:val="single" w:sz="4" w:space="0" w:color="000000"/>
            </w:tcBorders>
            <w:vAlign w:val="center"/>
          </w:tcPr>
          <w:p w14:paraId="730CB758"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r w:rsidR="000A4214" w14:paraId="265A4453"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167D37F1"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Куцура</w:t>
            </w:r>
          </w:p>
        </w:tc>
        <w:tc>
          <w:tcPr>
            <w:tcW w:w="1461" w:type="dxa"/>
            <w:tcBorders>
              <w:top w:val="single" w:sz="4" w:space="0" w:color="000000"/>
              <w:left w:val="single" w:sz="4" w:space="0" w:color="000000"/>
              <w:bottom w:val="single" w:sz="4" w:space="0" w:color="000000"/>
              <w:right w:val="single" w:sz="4" w:space="0" w:color="000000"/>
            </w:tcBorders>
            <w:vAlign w:val="center"/>
          </w:tcPr>
          <w:p w14:paraId="5CD7C8F4"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5</w:t>
            </w:r>
          </w:p>
        </w:tc>
        <w:tc>
          <w:tcPr>
            <w:tcW w:w="1380" w:type="dxa"/>
            <w:tcBorders>
              <w:top w:val="single" w:sz="4" w:space="0" w:color="000000"/>
              <w:left w:val="single" w:sz="4" w:space="0" w:color="000000"/>
              <w:bottom w:val="single" w:sz="4" w:space="0" w:color="000000"/>
              <w:right w:val="single" w:sz="4" w:space="0" w:color="000000"/>
            </w:tcBorders>
            <w:vAlign w:val="center"/>
          </w:tcPr>
          <w:p w14:paraId="5D451F84"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84</w:t>
            </w:r>
          </w:p>
        </w:tc>
        <w:tc>
          <w:tcPr>
            <w:tcW w:w="1410" w:type="dxa"/>
            <w:tcBorders>
              <w:top w:val="single" w:sz="4" w:space="0" w:color="000000"/>
              <w:left w:val="single" w:sz="4" w:space="0" w:color="000000"/>
              <w:bottom w:val="single" w:sz="4" w:space="0" w:color="000000"/>
              <w:right w:val="single" w:sz="4" w:space="0" w:color="000000"/>
            </w:tcBorders>
            <w:vAlign w:val="center"/>
          </w:tcPr>
          <w:p w14:paraId="3FD6F3D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39</w:t>
            </w:r>
          </w:p>
        </w:tc>
        <w:tc>
          <w:tcPr>
            <w:tcW w:w="1658" w:type="dxa"/>
            <w:tcBorders>
              <w:top w:val="single" w:sz="4" w:space="0" w:color="000000"/>
              <w:left w:val="single" w:sz="4" w:space="0" w:color="000000"/>
              <w:bottom w:val="single" w:sz="4" w:space="0" w:color="000000"/>
              <w:right w:val="single" w:sz="4" w:space="0" w:color="000000"/>
            </w:tcBorders>
            <w:vAlign w:val="center"/>
          </w:tcPr>
          <w:p w14:paraId="3455D76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30</w:t>
            </w:r>
          </w:p>
        </w:tc>
        <w:tc>
          <w:tcPr>
            <w:tcW w:w="1692" w:type="dxa"/>
            <w:tcBorders>
              <w:top w:val="single" w:sz="4" w:space="0" w:color="000000"/>
              <w:left w:val="single" w:sz="4" w:space="0" w:color="000000"/>
              <w:bottom w:val="single" w:sz="4" w:space="0" w:color="000000"/>
              <w:right w:val="single" w:sz="4" w:space="0" w:color="000000"/>
            </w:tcBorders>
            <w:vAlign w:val="center"/>
          </w:tcPr>
          <w:p w14:paraId="5C363348"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r w:rsidR="000A4214" w14:paraId="4A6D8CB4"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6FFBDE98"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Равно Село</w:t>
            </w:r>
          </w:p>
        </w:tc>
        <w:tc>
          <w:tcPr>
            <w:tcW w:w="1461" w:type="dxa"/>
            <w:tcBorders>
              <w:top w:val="single" w:sz="4" w:space="0" w:color="000000"/>
              <w:left w:val="single" w:sz="4" w:space="0" w:color="000000"/>
              <w:bottom w:val="single" w:sz="4" w:space="0" w:color="000000"/>
              <w:right w:val="single" w:sz="4" w:space="0" w:color="000000"/>
            </w:tcBorders>
            <w:vAlign w:val="center"/>
          </w:tcPr>
          <w:p w14:paraId="2C976122"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8</w:t>
            </w:r>
          </w:p>
        </w:tc>
        <w:tc>
          <w:tcPr>
            <w:tcW w:w="1380" w:type="dxa"/>
            <w:tcBorders>
              <w:top w:val="single" w:sz="4" w:space="0" w:color="000000"/>
              <w:left w:val="single" w:sz="4" w:space="0" w:color="000000"/>
              <w:bottom w:val="single" w:sz="4" w:space="0" w:color="000000"/>
              <w:right w:val="single" w:sz="4" w:space="0" w:color="000000"/>
            </w:tcBorders>
            <w:vAlign w:val="center"/>
          </w:tcPr>
          <w:p w14:paraId="46762F3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295</w:t>
            </w:r>
          </w:p>
        </w:tc>
        <w:tc>
          <w:tcPr>
            <w:tcW w:w="1410" w:type="dxa"/>
            <w:tcBorders>
              <w:top w:val="single" w:sz="4" w:space="0" w:color="000000"/>
              <w:left w:val="single" w:sz="4" w:space="0" w:color="000000"/>
              <w:bottom w:val="single" w:sz="4" w:space="0" w:color="000000"/>
              <w:right w:val="single" w:sz="4" w:space="0" w:color="000000"/>
            </w:tcBorders>
            <w:vAlign w:val="center"/>
          </w:tcPr>
          <w:p w14:paraId="3EFD3C7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295</w:t>
            </w:r>
          </w:p>
        </w:tc>
        <w:tc>
          <w:tcPr>
            <w:tcW w:w="1658" w:type="dxa"/>
            <w:tcBorders>
              <w:top w:val="single" w:sz="4" w:space="0" w:color="000000"/>
              <w:left w:val="single" w:sz="4" w:space="0" w:color="000000"/>
              <w:bottom w:val="single" w:sz="4" w:space="0" w:color="000000"/>
              <w:right w:val="single" w:sz="4" w:space="0" w:color="000000"/>
            </w:tcBorders>
            <w:vAlign w:val="center"/>
          </w:tcPr>
          <w:p w14:paraId="1405C75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c>
          <w:tcPr>
            <w:tcW w:w="1692" w:type="dxa"/>
            <w:tcBorders>
              <w:top w:val="single" w:sz="4" w:space="0" w:color="000000"/>
              <w:left w:val="single" w:sz="4" w:space="0" w:color="000000"/>
              <w:bottom w:val="single" w:sz="4" w:space="0" w:color="000000"/>
              <w:right w:val="single" w:sz="4" w:space="0" w:color="000000"/>
            </w:tcBorders>
            <w:vAlign w:val="center"/>
          </w:tcPr>
          <w:p w14:paraId="3CBD6F8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r w:rsidR="000A4214" w14:paraId="672F386E" w14:textId="77777777">
        <w:trPr>
          <w:jc w:val="center"/>
        </w:trPr>
        <w:tc>
          <w:tcPr>
            <w:tcW w:w="1424" w:type="dxa"/>
            <w:tcBorders>
              <w:top w:val="single" w:sz="4" w:space="0" w:color="000000"/>
              <w:left w:val="single" w:sz="4" w:space="0" w:color="000000"/>
              <w:bottom w:val="single" w:sz="4" w:space="0" w:color="000000"/>
              <w:right w:val="single" w:sz="4" w:space="0" w:color="000000"/>
            </w:tcBorders>
          </w:tcPr>
          <w:p w14:paraId="67BBA15E" w14:textId="77777777" w:rsidR="000A4214" w:rsidRDefault="00111391">
            <w:pPr>
              <w:widowControl w:val="0"/>
              <w:rPr>
                <w:rFonts w:ascii="Times New Roman" w:eastAsia="Times New Roman" w:hAnsi="Times New Roman" w:cs="Times New Roman"/>
              </w:rPr>
            </w:pPr>
            <w:r>
              <w:rPr>
                <w:rFonts w:ascii="Times New Roman" w:eastAsia="Times New Roman" w:hAnsi="Times New Roman" w:cs="Times New Roman"/>
              </w:rPr>
              <w:t>Савино Село</w:t>
            </w:r>
          </w:p>
        </w:tc>
        <w:tc>
          <w:tcPr>
            <w:tcW w:w="1461" w:type="dxa"/>
            <w:tcBorders>
              <w:top w:val="single" w:sz="4" w:space="0" w:color="000000"/>
              <w:left w:val="single" w:sz="4" w:space="0" w:color="000000"/>
              <w:bottom w:val="single" w:sz="4" w:space="0" w:color="000000"/>
              <w:right w:val="single" w:sz="4" w:space="0" w:color="000000"/>
            </w:tcBorders>
            <w:vAlign w:val="center"/>
          </w:tcPr>
          <w:p w14:paraId="242A7408"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7</w:t>
            </w:r>
          </w:p>
        </w:tc>
        <w:tc>
          <w:tcPr>
            <w:tcW w:w="1380" w:type="dxa"/>
            <w:tcBorders>
              <w:top w:val="single" w:sz="4" w:space="0" w:color="000000"/>
              <w:left w:val="single" w:sz="4" w:space="0" w:color="000000"/>
              <w:bottom w:val="single" w:sz="4" w:space="0" w:color="000000"/>
              <w:right w:val="single" w:sz="4" w:space="0" w:color="000000"/>
            </w:tcBorders>
            <w:vAlign w:val="center"/>
          </w:tcPr>
          <w:p w14:paraId="0BB22B6E"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272</w:t>
            </w:r>
          </w:p>
        </w:tc>
        <w:tc>
          <w:tcPr>
            <w:tcW w:w="1410" w:type="dxa"/>
            <w:tcBorders>
              <w:top w:val="single" w:sz="4" w:space="0" w:color="000000"/>
              <w:left w:val="single" w:sz="4" w:space="0" w:color="000000"/>
              <w:bottom w:val="single" w:sz="4" w:space="0" w:color="000000"/>
              <w:right w:val="single" w:sz="4" w:space="0" w:color="000000"/>
            </w:tcBorders>
            <w:vAlign w:val="center"/>
          </w:tcPr>
          <w:p w14:paraId="4D38CA3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252</w:t>
            </w:r>
          </w:p>
        </w:tc>
        <w:tc>
          <w:tcPr>
            <w:tcW w:w="1658" w:type="dxa"/>
            <w:tcBorders>
              <w:top w:val="single" w:sz="4" w:space="0" w:color="000000"/>
              <w:left w:val="single" w:sz="4" w:space="0" w:color="000000"/>
              <w:bottom w:val="single" w:sz="4" w:space="0" w:color="000000"/>
              <w:right w:val="single" w:sz="4" w:space="0" w:color="000000"/>
            </w:tcBorders>
            <w:vAlign w:val="center"/>
          </w:tcPr>
          <w:p w14:paraId="16B3779B"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20</w:t>
            </w:r>
          </w:p>
        </w:tc>
        <w:tc>
          <w:tcPr>
            <w:tcW w:w="1692" w:type="dxa"/>
            <w:tcBorders>
              <w:top w:val="single" w:sz="4" w:space="0" w:color="000000"/>
              <w:left w:val="single" w:sz="4" w:space="0" w:color="000000"/>
              <w:bottom w:val="single" w:sz="4" w:space="0" w:color="000000"/>
              <w:right w:val="single" w:sz="4" w:space="0" w:color="000000"/>
            </w:tcBorders>
            <w:vAlign w:val="center"/>
          </w:tcPr>
          <w:p w14:paraId="7E0028EE"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w:t>
            </w:r>
          </w:p>
        </w:tc>
      </w:tr>
    </w:tbl>
    <w:p w14:paraId="1994CB79" w14:textId="77777777" w:rsidR="000A4214" w:rsidRDefault="00111391">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Извор: </w:t>
      </w:r>
      <w:r>
        <w:rPr>
          <w:rFonts w:ascii="Times New Roman" w:eastAsia="Times New Roman" w:hAnsi="Times New Roman" w:cs="Times New Roman"/>
          <w:i/>
          <w:iCs/>
          <w:sz w:val="20"/>
          <w:szCs w:val="20"/>
        </w:rPr>
        <w:t>Попис пољопривреде 2012</w:t>
      </w:r>
      <w:r>
        <w:rPr>
          <w:rFonts w:ascii="Times New Roman" w:eastAsia="Times New Roman" w:hAnsi="Times New Roman" w:cs="Times New Roman"/>
          <w:sz w:val="20"/>
          <w:szCs w:val="20"/>
        </w:rPr>
        <w:t>, РЗС, Београд.</w:t>
      </w:r>
    </w:p>
    <w:p w14:paraId="7C4EAFEE"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Осим места Врбас и у насељу Равно Село постоји већи број газдинстава (8) која имају 295 хиљада пчелињих друштава од којих су све кошнице са покретним саћем. Ово насеље са укупним бројем пчелињих друштава учествује са 22,2% у укупном броју пчелињих друштава на нивоу општине Врбас. У насељу Бачко Добро Поље постоје 9 газдинстава и њихово учешће је 8,6%, Савино Село учествује са 20,5% укупних пчелињх друштава и насеље Куцура учествује са 6,3% у укупном броју пчелињих друштава на нивоу општине.</w:t>
      </w:r>
    </w:p>
    <w:p w14:paraId="71C02888" w14:textId="77777777" w:rsidR="000A4214" w:rsidRDefault="00111391">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ТРЖИШНИ СУБЈЕКТИ У ПОЉОПРИВРЕДНОЈ ПРОИЗВОДЊИ</w:t>
      </w:r>
    </w:p>
    <w:p w14:paraId="73DFD8F9" w14:textId="77777777" w:rsidR="000A4214" w:rsidRDefault="00111391">
      <w:pPr>
        <w:spacing w:after="0" w:line="240" w:lineRule="auto"/>
        <w:jc w:val="both"/>
        <w:rPr>
          <w:rFonts w:ascii="Times New Roman" w:eastAsia="Times New Roman" w:hAnsi="Times New Roman" w:cs="Times New Roman"/>
          <w:b/>
          <w:color w:val="000000"/>
          <w:sz w:val="23"/>
          <w:szCs w:val="23"/>
        </w:rPr>
      </w:pPr>
      <w:r>
        <w:rPr>
          <w:rFonts w:ascii="Times New Roman" w:eastAsia="Times New Roman" w:hAnsi="Times New Roman" w:cs="Times New Roman"/>
          <w:b/>
          <w:color w:val="000000"/>
          <w:sz w:val="23"/>
          <w:szCs w:val="23"/>
        </w:rPr>
        <w:t>3.1. Породична пољопривредна газдинства</w:t>
      </w:r>
    </w:p>
    <w:p w14:paraId="6D93B420" w14:textId="77777777" w:rsidR="000A4214" w:rsidRDefault="00111391">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 подацима </w:t>
      </w:r>
      <w:r>
        <w:rPr>
          <w:rFonts w:ascii="Times New Roman" w:eastAsia="Times New Roman" w:hAnsi="Times New Roman" w:cs="Times New Roman"/>
          <w:i/>
          <w:iCs/>
          <w:color w:val="000000"/>
          <w:sz w:val="24"/>
          <w:szCs w:val="24"/>
        </w:rPr>
        <w:t>Анкете о структури пољопривредних газдинстава 2018.</w:t>
      </w:r>
      <w:r>
        <w:rPr>
          <w:rFonts w:ascii="Times New Roman" w:eastAsia="Times New Roman" w:hAnsi="Times New Roman" w:cs="Times New Roman"/>
          <w:color w:val="000000"/>
          <w:sz w:val="24"/>
          <w:szCs w:val="24"/>
        </w:rPr>
        <w:t xml:space="preserve"> у општини Врбас </w:t>
      </w:r>
      <w:r>
        <w:rPr>
          <w:rFonts w:ascii="Times New Roman" w:eastAsia="Times New Roman" w:hAnsi="Times New Roman" w:cs="Times New Roman"/>
          <w:sz w:val="24"/>
          <w:szCs w:val="24"/>
        </w:rPr>
        <w:t>регистровано је 2.661 ПГ, од чега је 2.642 ППГ или 99,3%.</w:t>
      </w:r>
    </w:p>
    <w:p w14:paraId="56723093" w14:textId="77777777" w:rsidR="000A4214" w:rsidRDefault="00111391">
      <w:pPr>
        <w:spacing w:before="120" w:after="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У општини Врбас у 2021. години према подацима Управе за аграрна плаћања (Портал отворених података Републике Србије) регистровано је 2.586 породичних </w:t>
      </w:r>
      <w:r>
        <w:rPr>
          <w:rFonts w:ascii="Times New Roman" w:eastAsia="Times New Roman" w:hAnsi="Times New Roman" w:cs="Times New Roman"/>
          <w:sz w:val="24"/>
          <w:szCs w:val="24"/>
          <w:highlight w:val="white"/>
        </w:rPr>
        <w:t>пољопривредних газдинства од чега је 2.317 газдинстава у активном статусу.</w:t>
      </w:r>
    </w:p>
    <w:p w14:paraId="75BE6877" w14:textId="77777777" w:rsidR="000A4214" w:rsidRDefault="00111391">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Коришћено пољопривредно земљиште на ППГ</w:t>
      </w:r>
      <w:r>
        <w:rPr>
          <w:rFonts w:ascii="Times New Roman" w:eastAsia="Times New Roman" w:hAnsi="Times New Roman" w:cs="Times New Roman"/>
          <w:sz w:val="24"/>
          <w:szCs w:val="24"/>
        </w:rPr>
        <w:t xml:space="preserve"> (КПЗ чине: пољопривредно земљиште на окућници, оранице и баште (укључујући угаре), вишегодишњи засади, ливаде и пашњаци </w:t>
      </w:r>
      <w:r>
        <w:rPr>
          <w:rFonts w:ascii="Times New Roman" w:eastAsia="Times New Roman" w:hAnsi="Times New Roman" w:cs="Times New Roman"/>
          <w:sz w:val="24"/>
          <w:szCs w:val="24"/>
        </w:rPr>
        <w:lastRenderedPageBreak/>
        <w:t xml:space="preserve">– по методолошком упутству </w:t>
      </w:r>
      <w:r>
        <w:rPr>
          <w:rFonts w:ascii="Times New Roman" w:eastAsia="Times New Roman" w:hAnsi="Times New Roman" w:cs="Times New Roman"/>
          <w:i/>
          <w:iCs/>
          <w:sz w:val="24"/>
          <w:szCs w:val="24"/>
        </w:rPr>
        <w:t>Анкете о структури пољопривредних газдинстава 2018</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У Врбасу се у власништву ППГ налази 17.047 ha, односно 57,3% укупне површине КПЗ на подручју општине, што је знатно ниже у односу на ниво Србије (83,9%).</w:t>
      </w:r>
    </w:p>
    <w:p w14:paraId="24BAA11B" w14:textId="77777777" w:rsidR="000A4214" w:rsidRDefault="00111391">
      <w:pPr>
        <w:spacing w:before="120" w:after="120" w:line="240" w:lineRule="auto"/>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У општини просечна КПЗ по ППГ је 6,4 хa, што је више у односу на просек на нивоу Републике (Табела 10).</w:t>
      </w:r>
    </w:p>
    <w:p w14:paraId="26C356A9" w14:textId="77777777" w:rsidR="000A4214" w:rsidRDefault="00111391">
      <w:pPr>
        <w:spacing w:before="120" w:after="60" w:line="240" w:lineRule="auto"/>
        <w:rPr>
          <w:rFonts w:ascii="Times New Roman" w:eastAsia="Times New Roman" w:hAnsi="Times New Roman" w:cs="Times New Roman"/>
          <w:i/>
          <w:color w:val="000000"/>
          <w:sz w:val="24"/>
          <w:szCs w:val="24"/>
        </w:rPr>
      </w:pPr>
      <w:r>
        <w:rPr>
          <w:rFonts w:ascii="Times New Roman" w:eastAsia="Times New Roman" w:hAnsi="Times New Roman" w:cs="Times New Roman"/>
          <w:b/>
          <w:color w:val="000000"/>
          <w:sz w:val="24"/>
          <w:szCs w:val="24"/>
        </w:rPr>
        <w:t>Табела 10</w:t>
      </w: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color w:val="000000"/>
          <w:sz w:val="24"/>
          <w:szCs w:val="24"/>
        </w:rPr>
        <w:t>Просечно КПЗ по ППГ у Србији и Врбас, 2018. година</w:t>
      </w:r>
    </w:p>
    <w:tbl>
      <w:tblPr>
        <w:tblW w:w="9025" w:type="dxa"/>
        <w:jc w:val="center"/>
        <w:tblLayout w:type="fixed"/>
        <w:tblLook w:val="0400" w:firstRow="0" w:lastRow="0" w:firstColumn="0" w:lastColumn="0" w:noHBand="0" w:noVBand="1"/>
      </w:tblPr>
      <w:tblGrid>
        <w:gridCol w:w="3416"/>
        <w:gridCol w:w="1210"/>
        <w:gridCol w:w="1688"/>
        <w:gridCol w:w="2711"/>
      </w:tblGrid>
      <w:tr w:rsidR="000A4214" w14:paraId="2F9A5FA8" w14:textId="77777777">
        <w:trPr>
          <w:trHeight w:val="313"/>
          <w:jc w:val="center"/>
        </w:trPr>
        <w:tc>
          <w:tcPr>
            <w:tcW w:w="3415" w:type="dxa"/>
            <w:tcBorders>
              <w:top w:val="single" w:sz="4" w:space="0" w:color="000000"/>
              <w:left w:val="single" w:sz="4" w:space="0" w:color="000000"/>
              <w:bottom w:val="single" w:sz="4" w:space="0" w:color="000000"/>
              <w:right w:val="single" w:sz="4" w:space="0" w:color="000000"/>
            </w:tcBorders>
            <w:vAlign w:val="center"/>
          </w:tcPr>
          <w:p w14:paraId="2EE060AC" w14:textId="77777777" w:rsidR="000A4214" w:rsidRDefault="00111391">
            <w:pPr>
              <w:widowControl w:val="0"/>
              <w:rPr>
                <w:rFonts w:ascii="Times New Roman" w:eastAsia="Times New Roman" w:hAnsi="Times New Roman" w:cs="Times New Roman"/>
                <w:color w:val="000000"/>
              </w:rPr>
            </w:pPr>
            <w:r>
              <w:rPr>
                <w:rFonts w:ascii="Times New Roman" w:eastAsia="Times New Roman" w:hAnsi="Times New Roman" w:cs="Times New Roman"/>
                <w:color w:val="000000"/>
              </w:rPr>
              <w:t> </w:t>
            </w:r>
          </w:p>
        </w:tc>
        <w:tc>
          <w:tcPr>
            <w:tcW w:w="1210" w:type="dxa"/>
            <w:tcBorders>
              <w:top w:val="single" w:sz="4" w:space="0" w:color="000000"/>
              <w:left w:val="single" w:sz="4" w:space="0" w:color="000000"/>
              <w:bottom w:val="single" w:sz="4" w:space="0" w:color="000000"/>
              <w:right w:val="single" w:sz="4" w:space="0" w:color="000000"/>
            </w:tcBorders>
            <w:vAlign w:val="center"/>
          </w:tcPr>
          <w:p w14:paraId="70E960B3" w14:textId="77777777" w:rsidR="000A4214" w:rsidRDefault="00111391">
            <w:pPr>
              <w:widowControl w:val="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КПЗ, ха</w:t>
            </w:r>
          </w:p>
        </w:tc>
        <w:tc>
          <w:tcPr>
            <w:tcW w:w="1688" w:type="dxa"/>
            <w:tcBorders>
              <w:top w:val="single" w:sz="4" w:space="0" w:color="000000"/>
              <w:left w:val="single" w:sz="4" w:space="0" w:color="000000"/>
              <w:bottom w:val="single" w:sz="4" w:space="0" w:color="000000"/>
              <w:right w:val="single" w:sz="4" w:space="0" w:color="000000"/>
            </w:tcBorders>
            <w:vAlign w:val="center"/>
          </w:tcPr>
          <w:p w14:paraId="442FB866" w14:textId="77777777" w:rsidR="000A4214" w:rsidRDefault="00111391">
            <w:pPr>
              <w:widowControl w:val="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Број ППГ</w:t>
            </w:r>
          </w:p>
        </w:tc>
        <w:tc>
          <w:tcPr>
            <w:tcW w:w="2711" w:type="dxa"/>
            <w:tcBorders>
              <w:top w:val="single" w:sz="4" w:space="0" w:color="000000"/>
              <w:left w:val="single" w:sz="4" w:space="0" w:color="000000"/>
              <w:bottom w:val="single" w:sz="4" w:space="0" w:color="000000"/>
              <w:right w:val="single" w:sz="4" w:space="0" w:color="000000"/>
            </w:tcBorders>
            <w:vAlign w:val="center"/>
          </w:tcPr>
          <w:p w14:paraId="75C2072E" w14:textId="77777777" w:rsidR="000A4214" w:rsidRDefault="00111391">
            <w:pPr>
              <w:widowControl w:val="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Просечно КПЗ по ППГ, ха</w:t>
            </w:r>
          </w:p>
        </w:tc>
      </w:tr>
      <w:tr w:rsidR="000A4214" w14:paraId="032460AF" w14:textId="77777777">
        <w:trPr>
          <w:trHeight w:val="276"/>
          <w:jc w:val="center"/>
        </w:trPr>
        <w:tc>
          <w:tcPr>
            <w:tcW w:w="3415" w:type="dxa"/>
            <w:tcBorders>
              <w:top w:val="single" w:sz="4" w:space="0" w:color="000000"/>
              <w:left w:val="single" w:sz="4" w:space="0" w:color="000000"/>
              <w:bottom w:val="single" w:sz="4" w:space="0" w:color="000000"/>
              <w:right w:val="single" w:sz="4" w:space="0" w:color="000000"/>
            </w:tcBorders>
            <w:vAlign w:val="center"/>
          </w:tcPr>
          <w:p w14:paraId="505471E4" w14:textId="77777777" w:rsidR="000A4214" w:rsidRDefault="00111391">
            <w:pPr>
              <w:widowControl w:val="0"/>
              <w:rPr>
                <w:rFonts w:ascii="Times New Roman" w:eastAsia="Times New Roman" w:hAnsi="Times New Roman" w:cs="Times New Roman"/>
                <w:color w:val="000000"/>
              </w:rPr>
            </w:pPr>
            <w:r>
              <w:rPr>
                <w:rFonts w:ascii="Times New Roman" w:eastAsia="Times New Roman" w:hAnsi="Times New Roman" w:cs="Times New Roman"/>
                <w:color w:val="000000"/>
              </w:rPr>
              <w:t>Република Србија (без КиМ)</w:t>
            </w:r>
          </w:p>
        </w:tc>
        <w:tc>
          <w:tcPr>
            <w:tcW w:w="1210" w:type="dxa"/>
            <w:tcBorders>
              <w:top w:val="single" w:sz="4" w:space="0" w:color="000000"/>
              <w:left w:val="single" w:sz="4" w:space="0" w:color="000000"/>
              <w:bottom w:val="single" w:sz="4" w:space="0" w:color="000000"/>
              <w:right w:val="single" w:sz="4" w:space="0" w:color="000000"/>
            </w:tcBorders>
            <w:vAlign w:val="center"/>
          </w:tcPr>
          <w:p w14:paraId="52A22B11"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2.916.125</w:t>
            </w:r>
          </w:p>
        </w:tc>
        <w:tc>
          <w:tcPr>
            <w:tcW w:w="1688" w:type="dxa"/>
            <w:tcBorders>
              <w:top w:val="single" w:sz="4" w:space="0" w:color="000000"/>
              <w:left w:val="single" w:sz="4" w:space="0" w:color="000000"/>
              <w:bottom w:val="single" w:sz="4" w:space="0" w:color="000000"/>
              <w:right w:val="single" w:sz="4" w:space="0" w:color="000000"/>
            </w:tcBorders>
            <w:vAlign w:val="center"/>
          </w:tcPr>
          <w:p w14:paraId="325B12F4"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562.895</w:t>
            </w:r>
          </w:p>
        </w:tc>
        <w:tc>
          <w:tcPr>
            <w:tcW w:w="2711" w:type="dxa"/>
            <w:tcBorders>
              <w:top w:val="single" w:sz="4" w:space="0" w:color="000000"/>
              <w:left w:val="single" w:sz="4" w:space="0" w:color="000000"/>
              <w:bottom w:val="single" w:sz="4" w:space="0" w:color="000000"/>
              <w:right w:val="single" w:sz="4" w:space="0" w:color="000000"/>
            </w:tcBorders>
            <w:vAlign w:val="center"/>
          </w:tcPr>
          <w:p w14:paraId="6AF2E411"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5,2</w:t>
            </w:r>
          </w:p>
        </w:tc>
      </w:tr>
      <w:tr w:rsidR="000A4214" w14:paraId="06694A3D" w14:textId="77777777">
        <w:trPr>
          <w:trHeight w:val="300"/>
          <w:jc w:val="center"/>
        </w:trPr>
        <w:tc>
          <w:tcPr>
            <w:tcW w:w="3415"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259DBA78" w14:textId="77777777" w:rsidR="000A4214" w:rsidRDefault="00111391">
            <w:pPr>
              <w:widowControl w:val="0"/>
              <w:rPr>
                <w:rFonts w:ascii="Times New Roman" w:eastAsia="Times New Roman" w:hAnsi="Times New Roman" w:cs="Times New Roman"/>
                <w:color w:val="000000"/>
              </w:rPr>
            </w:pPr>
            <w:r>
              <w:rPr>
                <w:rFonts w:ascii="Times New Roman" w:eastAsia="Times New Roman" w:hAnsi="Times New Roman" w:cs="Times New Roman"/>
                <w:color w:val="000000"/>
              </w:rPr>
              <w:t>Општина Врбас</w:t>
            </w:r>
          </w:p>
        </w:tc>
        <w:tc>
          <w:tcPr>
            <w:tcW w:w="1210"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2F075D79"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17.047</w:t>
            </w:r>
          </w:p>
        </w:tc>
        <w:tc>
          <w:tcPr>
            <w:tcW w:w="1688"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4899A733"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2.642</w:t>
            </w:r>
          </w:p>
        </w:tc>
        <w:tc>
          <w:tcPr>
            <w:tcW w:w="2711" w:type="dxa"/>
            <w:tcBorders>
              <w:top w:val="single" w:sz="4" w:space="0" w:color="000000"/>
              <w:left w:val="single" w:sz="4" w:space="0" w:color="000000"/>
              <w:bottom w:val="single" w:sz="4" w:space="0" w:color="000000"/>
              <w:right w:val="single" w:sz="4" w:space="0" w:color="000000"/>
            </w:tcBorders>
            <w:shd w:val="clear" w:color="auto" w:fill="FFCC00"/>
            <w:vAlign w:val="center"/>
          </w:tcPr>
          <w:p w14:paraId="49B02ADD"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6,4</w:t>
            </w:r>
          </w:p>
        </w:tc>
      </w:tr>
    </w:tbl>
    <w:p w14:paraId="1051B37F" w14:textId="77777777" w:rsidR="000A4214" w:rsidRDefault="00111391">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Извор: </w:t>
      </w:r>
      <w:r>
        <w:rPr>
          <w:rFonts w:ascii="Times New Roman" w:eastAsia="Times New Roman" w:hAnsi="Times New Roman" w:cs="Times New Roman"/>
          <w:i/>
          <w:iCs/>
          <w:color w:val="000000"/>
          <w:sz w:val="20"/>
          <w:szCs w:val="20"/>
        </w:rPr>
        <w:t>Анкете о структури пољопривредних газдинстава 2018</w:t>
      </w:r>
      <w:r>
        <w:rPr>
          <w:rFonts w:ascii="Times New Roman" w:eastAsia="Times New Roman" w:hAnsi="Times New Roman" w:cs="Times New Roman"/>
          <w:color w:val="000000"/>
          <w:sz w:val="20"/>
          <w:szCs w:val="20"/>
        </w:rPr>
        <w:t>, РЗС, електронска база података.</w:t>
      </w:r>
    </w:p>
    <w:p w14:paraId="295FBE7E" w14:textId="77777777" w:rsidR="000A4214" w:rsidRDefault="00111391">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 подручја општине највећи број ППГ (</w:t>
      </w:r>
      <w:r>
        <w:rPr>
          <w:rFonts w:ascii="Times New Roman" w:eastAsia="Times New Roman" w:hAnsi="Times New Roman" w:cs="Times New Roman"/>
          <w:i/>
          <w:iCs/>
          <w:color w:val="000000"/>
          <w:sz w:val="24"/>
          <w:szCs w:val="24"/>
        </w:rPr>
        <w:t>Анкета о структури пољопривредних газдинстава 2018</w:t>
      </w:r>
      <w:r>
        <w:rPr>
          <w:rFonts w:ascii="Times New Roman" w:eastAsia="Times New Roman" w:hAnsi="Times New Roman" w:cs="Times New Roman"/>
          <w:color w:val="000000"/>
          <w:sz w:val="24"/>
          <w:szCs w:val="24"/>
        </w:rPr>
        <w:t>) користи пољопривредно земљиште величине 2 до 5 ха (21,2%) и 1 до 2 ха (20,2% од укупног броја ППГ) (Графикон 6</w:t>
      </w:r>
      <w:r>
        <w:rPr>
          <w:rFonts w:ascii="Times New Roman" w:eastAsia="Times New Roman" w:hAnsi="Times New Roman" w:cs="Times New Roman"/>
          <w:i/>
          <w:color w:val="000000"/>
          <w:sz w:val="24"/>
          <w:szCs w:val="24"/>
        </w:rPr>
        <w:t>).</w:t>
      </w:r>
    </w:p>
    <w:p w14:paraId="591BB9D2" w14:textId="77777777" w:rsidR="000A4214" w:rsidRDefault="00111391">
      <w:pPr>
        <w:spacing w:before="120" w:after="6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Графикон 6. </w:t>
      </w:r>
      <w:r>
        <w:rPr>
          <w:rFonts w:ascii="Times New Roman" w:eastAsia="Times New Roman" w:hAnsi="Times New Roman" w:cs="Times New Roman"/>
          <w:sz w:val="24"/>
          <w:szCs w:val="24"/>
        </w:rPr>
        <w:t>Број ППГ у Врбасу према величини КПЗ током 2018. године</w:t>
      </w:r>
    </w:p>
    <w:p w14:paraId="17B48329" w14:textId="77777777" w:rsidR="000A4214" w:rsidRDefault="00111391">
      <w:pPr>
        <w:spacing w:before="120" w:after="60" w:line="240" w:lineRule="auto"/>
      </w:pPr>
      <w:r>
        <w:rPr>
          <w:noProof/>
        </w:rPr>
        <w:drawing>
          <wp:inline distT="0" distB="0" distL="0" distR="0" wp14:anchorId="3361ECF5" wp14:editId="4ECC4DE4">
            <wp:extent cx="5648325" cy="240982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3187585" w14:textId="77777777" w:rsidR="000A4214" w:rsidRDefault="00111391">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Извор: </w:t>
      </w:r>
      <w:r>
        <w:rPr>
          <w:rFonts w:ascii="Times New Roman" w:eastAsia="Times New Roman" w:hAnsi="Times New Roman" w:cs="Times New Roman"/>
          <w:i/>
          <w:iCs/>
          <w:color w:val="000000"/>
          <w:sz w:val="20"/>
          <w:szCs w:val="20"/>
        </w:rPr>
        <w:t>Анкете о структури пољопривредних газдинстава 2018</w:t>
      </w:r>
      <w:r>
        <w:rPr>
          <w:rFonts w:ascii="Times New Roman" w:eastAsia="Times New Roman" w:hAnsi="Times New Roman" w:cs="Times New Roman"/>
          <w:color w:val="000000"/>
          <w:sz w:val="20"/>
          <w:szCs w:val="20"/>
        </w:rPr>
        <w:t>, РЗС, електронска база података.</w:t>
      </w:r>
    </w:p>
    <w:p w14:paraId="5C611694" w14:textId="77777777" w:rsidR="000A4214" w:rsidRDefault="00111391">
      <w:pPr>
        <w:spacing w:before="120" w:after="12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 општини 68,6% ППГ има посед до 5 ха, што је приближно са стањем показатеља на нивоу Републике (71,8%) што је показатељ уситњености газдинстава.</w:t>
      </w:r>
    </w:p>
    <w:p w14:paraId="13AC0C81" w14:textId="77777777" w:rsidR="000A4214" w:rsidRDefault="00111391">
      <w:pPr>
        <w:spacing w:before="12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i/>
          <w:color w:val="000000"/>
          <w:sz w:val="24"/>
          <w:szCs w:val="24"/>
        </w:rPr>
        <w:t xml:space="preserve">ППГ према економској величини </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Економска величина газдинства је новчана бруто вредност свих пољопривредних производа који се производе на газдинству по цени произвођача, изражена у еврима.). Н</w:t>
      </w:r>
      <w:r>
        <w:rPr>
          <w:rFonts w:ascii="Times New Roman" w:eastAsia="Times New Roman" w:hAnsi="Times New Roman" w:cs="Times New Roman"/>
          <w:color w:val="000000"/>
          <w:sz w:val="24"/>
          <w:szCs w:val="24"/>
        </w:rPr>
        <w:t>а територији општине н</w:t>
      </w:r>
      <w:r>
        <w:rPr>
          <w:rFonts w:ascii="Times New Roman" w:eastAsia="Times New Roman" w:hAnsi="Times New Roman" w:cs="Times New Roman"/>
          <w:sz w:val="24"/>
          <w:szCs w:val="24"/>
        </w:rPr>
        <w:t xml:space="preserve">ајвећи број </w:t>
      </w:r>
      <w:r>
        <w:rPr>
          <w:rFonts w:ascii="Times New Roman" w:eastAsia="Times New Roman" w:hAnsi="Times New Roman" w:cs="Times New Roman"/>
          <w:color w:val="000000"/>
          <w:sz w:val="24"/>
          <w:szCs w:val="24"/>
        </w:rPr>
        <w:t xml:space="preserve">ППГ </w:t>
      </w:r>
      <w:r>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Графикон 2</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припада групи ППГ који су у категорији остварене стандардне вредности производње 0–2.000 евра, чак 35,8%, што је неповољније у односу на ниво Републике (27,6% са оствареном стандардном вредности производње 0–2.000 евра).</w:t>
      </w:r>
    </w:p>
    <w:p w14:paraId="4A686816" w14:textId="77777777" w:rsidR="000A4214" w:rsidRDefault="00111391">
      <w:pPr>
        <w:spacing w:before="120" w:after="6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Радна снага на газдинству</w:t>
      </w:r>
      <w:r>
        <w:rPr>
          <w:rFonts w:ascii="Times New Roman" w:eastAsia="Times New Roman" w:hAnsi="Times New Roman" w:cs="Times New Roman"/>
          <w:color w:val="000000"/>
          <w:sz w:val="24"/>
          <w:szCs w:val="24"/>
        </w:rPr>
        <w:t>. У сектору ПГ укупно ангажована радна снага је 5.717 лица</w:t>
      </w:r>
      <w:r>
        <w:rPr>
          <w:rStyle w:val="FootnoteAnchor"/>
          <w:rFonts w:ascii="Times New Roman" w:eastAsia="Times New Roman" w:hAnsi="Times New Roman" w:cs="Times New Roman"/>
          <w:color w:val="000000"/>
          <w:sz w:val="24"/>
          <w:szCs w:val="24"/>
        </w:rPr>
        <w:footnoteReference w:id="1"/>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Анкете о структури пољопривредних газдинстава 2018</w:t>
      </w:r>
      <w:r>
        <w:rPr>
          <w:rFonts w:ascii="Times New Roman" w:eastAsia="Times New Roman" w:hAnsi="Times New Roman" w:cs="Times New Roman"/>
          <w:color w:val="000000"/>
          <w:sz w:val="24"/>
          <w:szCs w:val="24"/>
        </w:rPr>
        <w:t>). Структура укупно ангажоване радне снаге на газдинствима је:</w:t>
      </w:r>
    </w:p>
    <w:p w14:paraId="226DE8D0" w14:textId="77777777" w:rsidR="000A4214" w:rsidRDefault="00111391">
      <w:pPr>
        <w:numPr>
          <w:ilvl w:val="0"/>
          <w:numId w:val="5"/>
        </w:numPr>
        <w:spacing w:before="60" w:after="60" w:line="240" w:lineRule="auto"/>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Носиоца газдинстава – 2.642 лица (46,2%),</w:t>
      </w:r>
    </w:p>
    <w:p w14:paraId="6D893EB7" w14:textId="77777777" w:rsidR="000A4214" w:rsidRDefault="00111391">
      <w:pPr>
        <w:numPr>
          <w:ilvl w:val="0"/>
          <w:numId w:val="5"/>
        </w:numPr>
        <w:spacing w:before="60" w:after="60" w:line="240" w:lineRule="auto"/>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Чланова газдинства – 2.521 лица (44,1%),</w:t>
      </w:r>
    </w:p>
    <w:p w14:paraId="4537D370" w14:textId="77777777" w:rsidR="000A4214" w:rsidRDefault="00111391">
      <w:pPr>
        <w:numPr>
          <w:ilvl w:val="0"/>
          <w:numId w:val="5"/>
        </w:numPr>
        <w:spacing w:before="60" w:after="60" w:line="240" w:lineRule="auto"/>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Стално запослени у породичним пољопривредним газдинствима – 5 лица (0,09%),</w:t>
      </w:r>
    </w:p>
    <w:p w14:paraId="09B74B54" w14:textId="77777777" w:rsidR="000A4214" w:rsidRDefault="00111391">
      <w:pPr>
        <w:numPr>
          <w:ilvl w:val="0"/>
          <w:numId w:val="5"/>
        </w:numPr>
        <w:spacing w:before="60" w:after="120" w:line="240" w:lineRule="auto"/>
        <w:ind w:left="714"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Стално запослени код правних лица и предузетника – 549 лица (9,6%).</w:t>
      </w:r>
    </w:p>
    <w:p w14:paraId="57D18E9C"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4"/>
          <w:szCs w:val="24"/>
        </w:rPr>
        <w:t>Полна структура на газдинствима</w:t>
      </w:r>
      <w:r>
        <w:rPr>
          <w:rFonts w:ascii="Times New Roman" w:eastAsia="Times New Roman" w:hAnsi="Times New Roman" w:cs="Times New Roman"/>
          <w:color w:val="000000"/>
          <w:sz w:val="24"/>
          <w:szCs w:val="24"/>
        </w:rPr>
        <w:t>. Ако се анализира број носиоца газдинстава по полу – мушкарци су 78,7% од укупног броја носиоца газдинстава. Код полне структуре чланова газдинстава веће је учешће жена 52,3%.</w:t>
      </w:r>
    </w:p>
    <w:p w14:paraId="1D58E040"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Старосна структура на газдинствима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У општини Врбас у структури менаџера (управника) ПГ највеће је учешће управника старости 65 и више година (32,2%) и старости 55–64 године (28,1%), док је регистрован свега један управникстарости мање од 25 година. У односу на ниво Републике оваква старосна структура је повољнија (управници старости 65 и више година имају учешће 39,1%).</w:t>
      </w:r>
    </w:p>
    <w:p w14:paraId="759FA81A" w14:textId="77777777" w:rsidR="000A4214" w:rsidRDefault="00111391">
      <w:pPr>
        <w:spacing w:before="12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i/>
          <w:sz w:val="24"/>
          <w:szCs w:val="24"/>
        </w:rPr>
        <w:t>Образовна структура на газдинствима</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На нивоу општине образовна структура менаџера није повољна (практично искуство има 89,9% менаџера, основну школу 7,9%, вишу обуку 2,2%), али је повољнија у односу на ниво Републике (где практично искуство има 95,3%, основну школу 3,4%, док вишу обику има 1,3% управника).</w:t>
      </w:r>
    </w:p>
    <w:p w14:paraId="0900D7C6" w14:textId="77777777" w:rsidR="000A4214" w:rsidRDefault="00111391">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3.2. Привредна друштва</w:t>
      </w:r>
    </w:p>
    <w:p w14:paraId="006270D2" w14:textId="77777777" w:rsidR="000A4214" w:rsidRDefault="0011139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Према подацима Агенције за привредне регистре, број привредних друштава у области 01 (Пољопривреда, лов и одговарајуће услужне делатности), у активном статусу регистрованих у општини Врбасу 2021. години износи 20, што је за 10 субјеката мање у односу на 2017. годину (Табела 11). Истовремено у Регистру пољопривредних газдинстава</w:t>
      </w:r>
      <w:r>
        <w:rPr>
          <w:rStyle w:val="FootnoteAnchor"/>
          <w:rFonts w:ascii="Times New Roman" w:eastAsia="Times New Roman" w:hAnsi="Times New Roman" w:cs="Times New Roman"/>
          <w:sz w:val="24"/>
          <w:szCs w:val="24"/>
        </w:rPr>
        <w:footnoteReference w:id="2"/>
      </w:r>
      <w:r>
        <w:rPr>
          <w:rFonts w:ascii="Times New Roman" w:eastAsia="Times New Roman" w:hAnsi="Times New Roman" w:cs="Times New Roman"/>
          <w:sz w:val="24"/>
          <w:szCs w:val="24"/>
        </w:rPr>
        <w:t xml:space="preserve"> у 2021. години уписано је 24 предузећа и једно пољопривредно газдинставо са статусом правног лица (Управа за аграрна плаћања, Портал отворених података).</w:t>
      </w:r>
    </w:p>
    <w:p w14:paraId="5B8ECA01" w14:textId="77777777" w:rsidR="000A4214" w:rsidRDefault="000A4214">
      <w:pPr>
        <w:spacing w:after="0" w:line="240" w:lineRule="auto"/>
        <w:jc w:val="both"/>
        <w:rPr>
          <w:rFonts w:ascii="Times New Roman" w:eastAsia="Times New Roman" w:hAnsi="Times New Roman" w:cs="Times New Roman"/>
          <w:sz w:val="24"/>
          <w:szCs w:val="24"/>
        </w:rPr>
      </w:pPr>
    </w:p>
    <w:p w14:paraId="0FE87E88" w14:textId="77777777" w:rsidR="000A4214" w:rsidRDefault="0011139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Табела 11. </w:t>
      </w:r>
      <w:r>
        <w:rPr>
          <w:rFonts w:ascii="Times New Roman" w:eastAsia="Times New Roman" w:hAnsi="Times New Roman" w:cs="Times New Roman"/>
          <w:sz w:val="24"/>
          <w:szCs w:val="24"/>
        </w:rPr>
        <w:t>Број привредних друштава/</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у области 01 Пољопривреда, лов и одговарајуће услужне активности, активан статус, период 2017–2021. године/</w:t>
      </w:r>
      <w:r>
        <w:rPr>
          <w:rFonts w:ascii="Times New Roman" w:eastAsia="Times New Roman" w:hAnsi="Times New Roman" w:cs="Times New Roman"/>
          <w:sz w:val="24"/>
          <w:szCs w:val="24"/>
          <w:vertAlign w:val="superscript"/>
        </w:rPr>
        <w:t>2</w:t>
      </w:r>
    </w:p>
    <w:tbl>
      <w:tblPr>
        <w:tblW w:w="9004" w:type="dxa"/>
        <w:jc w:val="center"/>
        <w:tblLayout w:type="fixed"/>
        <w:tblLook w:val="0400" w:firstRow="0" w:lastRow="0" w:firstColumn="0" w:lastColumn="0" w:noHBand="0" w:noVBand="1"/>
      </w:tblPr>
      <w:tblGrid>
        <w:gridCol w:w="3653"/>
        <w:gridCol w:w="1274"/>
        <w:gridCol w:w="1276"/>
        <w:gridCol w:w="851"/>
        <w:gridCol w:w="992"/>
        <w:gridCol w:w="958"/>
      </w:tblGrid>
      <w:tr w:rsidR="000A4214" w14:paraId="2F74B6B2" w14:textId="77777777">
        <w:trPr>
          <w:jc w:val="center"/>
        </w:trPr>
        <w:tc>
          <w:tcPr>
            <w:tcW w:w="3652" w:type="dxa"/>
            <w:tcBorders>
              <w:top w:val="single" w:sz="4" w:space="0" w:color="000000"/>
              <w:left w:val="single" w:sz="4" w:space="0" w:color="000000"/>
              <w:bottom w:val="single" w:sz="4" w:space="0" w:color="000000"/>
              <w:right w:val="single" w:sz="4" w:space="0" w:color="000000"/>
            </w:tcBorders>
          </w:tcPr>
          <w:p w14:paraId="654AD410" w14:textId="77777777" w:rsidR="000A4214" w:rsidRDefault="000A4214">
            <w:pPr>
              <w:widowControl w:val="0"/>
              <w:rPr>
                <w:rFonts w:ascii="Times New Roman" w:eastAsia="Times New Roman" w:hAnsi="Times New Roman" w:cs="Times New Roman"/>
              </w:rPr>
            </w:pPr>
          </w:p>
        </w:tc>
        <w:tc>
          <w:tcPr>
            <w:tcW w:w="1274" w:type="dxa"/>
            <w:tcBorders>
              <w:top w:val="single" w:sz="4" w:space="0" w:color="000000"/>
              <w:left w:val="single" w:sz="4" w:space="0" w:color="000000"/>
              <w:bottom w:val="single" w:sz="4" w:space="0" w:color="000000"/>
              <w:right w:val="single" w:sz="4" w:space="0" w:color="000000"/>
            </w:tcBorders>
          </w:tcPr>
          <w:p w14:paraId="02B64D8C"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2017.</w:t>
            </w:r>
          </w:p>
        </w:tc>
        <w:tc>
          <w:tcPr>
            <w:tcW w:w="1276" w:type="dxa"/>
            <w:tcBorders>
              <w:top w:val="single" w:sz="4" w:space="0" w:color="000000"/>
              <w:left w:val="single" w:sz="4" w:space="0" w:color="000000"/>
              <w:bottom w:val="single" w:sz="4" w:space="0" w:color="000000"/>
              <w:right w:val="single" w:sz="4" w:space="0" w:color="000000"/>
            </w:tcBorders>
          </w:tcPr>
          <w:p w14:paraId="26C99E45"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2018.</w:t>
            </w:r>
          </w:p>
        </w:tc>
        <w:tc>
          <w:tcPr>
            <w:tcW w:w="851" w:type="dxa"/>
            <w:tcBorders>
              <w:top w:val="single" w:sz="4" w:space="0" w:color="000000"/>
              <w:left w:val="single" w:sz="4" w:space="0" w:color="000000"/>
              <w:bottom w:val="single" w:sz="4" w:space="0" w:color="000000"/>
              <w:right w:val="single" w:sz="4" w:space="0" w:color="000000"/>
            </w:tcBorders>
          </w:tcPr>
          <w:p w14:paraId="1FC98F91"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2019.</w:t>
            </w:r>
          </w:p>
        </w:tc>
        <w:tc>
          <w:tcPr>
            <w:tcW w:w="992" w:type="dxa"/>
            <w:tcBorders>
              <w:top w:val="single" w:sz="4" w:space="0" w:color="000000"/>
              <w:left w:val="single" w:sz="4" w:space="0" w:color="000000"/>
              <w:bottom w:val="single" w:sz="4" w:space="0" w:color="000000"/>
              <w:right w:val="single" w:sz="4" w:space="0" w:color="000000"/>
            </w:tcBorders>
          </w:tcPr>
          <w:p w14:paraId="129577A2"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2020.</w:t>
            </w:r>
          </w:p>
        </w:tc>
        <w:tc>
          <w:tcPr>
            <w:tcW w:w="958" w:type="dxa"/>
            <w:tcBorders>
              <w:top w:val="single" w:sz="4" w:space="0" w:color="000000"/>
              <w:left w:val="single" w:sz="4" w:space="0" w:color="000000"/>
              <w:bottom w:val="single" w:sz="4" w:space="0" w:color="000000"/>
              <w:right w:val="single" w:sz="4" w:space="0" w:color="000000"/>
            </w:tcBorders>
          </w:tcPr>
          <w:p w14:paraId="0B1B400C"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2021.</w:t>
            </w:r>
          </w:p>
        </w:tc>
      </w:tr>
      <w:tr w:rsidR="000A4214" w14:paraId="313E8B58" w14:textId="77777777">
        <w:trPr>
          <w:jc w:val="center"/>
        </w:trPr>
        <w:tc>
          <w:tcPr>
            <w:tcW w:w="3652" w:type="dxa"/>
            <w:tcBorders>
              <w:top w:val="single" w:sz="4" w:space="0" w:color="000000"/>
              <w:left w:val="single" w:sz="4" w:space="0" w:color="000000"/>
              <w:bottom w:val="single" w:sz="4" w:space="0" w:color="000000"/>
              <w:right w:val="single" w:sz="4" w:space="0" w:color="000000"/>
            </w:tcBorders>
          </w:tcPr>
          <w:p w14:paraId="2B919631"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Република Србија</w:t>
            </w:r>
          </w:p>
        </w:tc>
        <w:tc>
          <w:tcPr>
            <w:tcW w:w="1274" w:type="dxa"/>
            <w:tcBorders>
              <w:top w:val="single" w:sz="4" w:space="0" w:color="000000"/>
              <w:left w:val="single" w:sz="4" w:space="0" w:color="000000"/>
              <w:bottom w:val="single" w:sz="4" w:space="0" w:color="000000"/>
              <w:right w:val="single" w:sz="4" w:space="0" w:color="000000"/>
            </w:tcBorders>
          </w:tcPr>
          <w:p w14:paraId="0B3BB33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2.775</w:t>
            </w:r>
          </w:p>
        </w:tc>
        <w:tc>
          <w:tcPr>
            <w:tcW w:w="1276" w:type="dxa"/>
            <w:tcBorders>
              <w:top w:val="single" w:sz="4" w:space="0" w:color="000000"/>
              <w:left w:val="single" w:sz="4" w:space="0" w:color="000000"/>
              <w:bottom w:val="single" w:sz="4" w:space="0" w:color="000000"/>
              <w:right w:val="single" w:sz="4" w:space="0" w:color="000000"/>
            </w:tcBorders>
          </w:tcPr>
          <w:p w14:paraId="0C57F20C"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2.840</w:t>
            </w:r>
          </w:p>
        </w:tc>
        <w:tc>
          <w:tcPr>
            <w:tcW w:w="851" w:type="dxa"/>
            <w:tcBorders>
              <w:top w:val="single" w:sz="4" w:space="0" w:color="000000"/>
              <w:left w:val="single" w:sz="4" w:space="0" w:color="000000"/>
              <w:bottom w:val="single" w:sz="4" w:space="0" w:color="000000"/>
              <w:right w:val="single" w:sz="4" w:space="0" w:color="000000"/>
            </w:tcBorders>
          </w:tcPr>
          <w:p w14:paraId="24ED6365"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2.562</w:t>
            </w:r>
          </w:p>
        </w:tc>
        <w:tc>
          <w:tcPr>
            <w:tcW w:w="992" w:type="dxa"/>
            <w:tcBorders>
              <w:top w:val="single" w:sz="4" w:space="0" w:color="000000"/>
              <w:left w:val="single" w:sz="4" w:space="0" w:color="000000"/>
              <w:bottom w:val="single" w:sz="4" w:space="0" w:color="000000"/>
              <w:right w:val="single" w:sz="4" w:space="0" w:color="000000"/>
            </w:tcBorders>
          </w:tcPr>
          <w:p w14:paraId="420AD38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2.564</w:t>
            </w:r>
          </w:p>
        </w:tc>
        <w:tc>
          <w:tcPr>
            <w:tcW w:w="958" w:type="dxa"/>
            <w:tcBorders>
              <w:top w:val="single" w:sz="4" w:space="0" w:color="000000"/>
              <w:left w:val="single" w:sz="4" w:space="0" w:color="000000"/>
              <w:bottom w:val="single" w:sz="4" w:space="0" w:color="000000"/>
              <w:right w:val="single" w:sz="4" w:space="0" w:color="000000"/>
            </w:tcBorders>
          </w:tcPr>
          <w:p w14:paraId="3462114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2.564</w:t>
            </w:r>
          </w:p>
        </w:tc>
      </w:tr>
      <w:tr w:rsidR="000A4214" w14:paraId="0349EF16" w14:textId="77777777">
        <w:trPr>
          <w:jc w:val="center"/>
        </w:trPr>
        <w:tc>
          <w:tcPr>
            <w:tcW w:w="3652" w:type="dxa"/>
            <w:tcBorders>
              <w:top w:val="single" w:sz="4" w:space="0" w:color="000000"/>
              <w:left w:val="single" w:sz="4" w:space="0" w:color="000000"/>
              <w:bottom w:val="single" w:sz="4" w:space="0" w:color="000000"/>
              <w:right w:val="single" w:sz="4" w:space="0" w:color="000000"/>
            </w:tcBorders>
          </w:tcPr>
          <w:p w14:paraId="477476AD"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АП Војводина</w:t>
            </w:r>
          </w:p>
        </w:tc>
        <w:tc>
          <w:tcPr>
            <w:tcW w:w="1274" w:type="dxa"/>
            <w:tcBorders>
              <w:top w:val="single" w:sz="4" w:space="0" w:color="000000"/>
              <w:left w:val="single" w:sz="4" w:space="0" w:color="000000"/>
              <w:bottom w:val="single" w:sz="4" w:space="0" w:color="000000"/>
              <w:right w:val="single" w:sz="4" w:space="0" w:color="000000"/>
            </w:tcBorders>
          </w:tcPr>
          <w:p w14:paraId="59F99E2B"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1.388</w:t>
            </w:r>
          </w:p>
        </w:tc>
        <w:tc>
          <w:tcPr>
            <w:tcW w:w="1276" w:type="dxa"/>
            <w:tcBorders>
              <w:top w:val="single" w:sz="4" w:space="0" w:color="000000"/>
              <w:left w:val="single" w:sz="4" w:space="0" w:color="000000"/>
              <w:bottom w:val="single" w:sz="4" w:space="0" w:color="000000"/>
              <w:right w:val="single" w:sz="4" w:space="0" w:color="000000"/>
            </w:tcBorders>
          </w:tcPr>
          <w:p w14:paraId="5835B0DC"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1.397</w:t>
            </w:r>
          </w:p>
        </w:tc>
        <w:tc>
          <w:tcPr>
            <w:tcW w:w="851" w:type="dxa"/>
            <w:tcBorders>
              <w:top w:val="single" w:sz="4" w:space="0" w:color="000000"/>
              <w:left w:val="single" w:sz="4" w:space="0" w:color="000000"/>
              <w:bottom w:val="single" w:sz="4" w:space="0" w:color="000000"/>
              <w:right w:val="single" w:sz="4" w:space="0" w:color="000000"/>
            </w:tcBorders>
          </w:tcPr>
          <w:p w14:paraId="1ECECE93"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1.292</w:t>
            </w:r>
          </w:p>
        </w:tc>
        <w:tc>
          <w:tcPr>
            <w:tcW w:w="992" w:type="dxa"/>
            <w:tcBorders>
              <w:top w:val="single" w:sz="4" w:space="0" w:color="000000"/>
              <w:left w:val="single" w:sz="4" w:space="0" w:color="000000"/>
              <w:bottom w:val="single" w:sz="4" w:space="0" w:color="000000"/>
              <w:right w:val="single" w:sz="4" w:space="0" w:color="000000"/>
            </w:tcBorders>
          </w:tcPr>
          <w:p w14:paraId="7ED7B165"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1.296</w:t>
            </w:r>
          </w:p>
        </w:tc>
        <w:tc>
          <w:tcPr>
            <w:tcW w:w="958" w:type="dxa"/>
            <w:tcBorders>
              <w:top w:val="single" w:sz="4" w:space="0" w:color="000000"/>
              <w:left w:val="single" w:sz="4" w:space="0" w:color="000000"/>
              <w:bottom w:val="single" w:sz="4" w:space="0" w:color="000000"/>
              <w:right w:val="single" w:sz="4" w:space="0" w:color="000000"/>
            </w:tcBorders>
          </w:tcPr>
          <w:p w14:paraId="33BD614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1.287</w:t>
            </w:r>
          </w:p>
        </w:tc>
      </w:tr>
      <w:tr w:rsidR="000A4214" w14:paraId="30E34ACD" w14:textId="77777777">
        <w:trPr>
          <w:jc w:val="center"/>
        </w:trPr>
        <w:tc>
          <w:tcPr>
            <w:tcW w:w="3652" w:type="dxa"/>
            <w:tcBorders>
              <w:top w:val="single" w:sz="4" w:space="0" w:color="000000"/>
              <w:left w:val="single" w:sz="4" w:space="0" w:color="000000"/>
              <w:bottom w:val="single" w:sz="4" w:space="0" w:color="000000"/>
              <w:right w:val="single" w:sz="4" w:space="0" w:color="000000"/>
            </w:tcBorders>
          </w:tcPr>
          <w:p w14:paraId="4665CFFF"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Јужнобачка област</w:t>
            </w:r>
          </w:p>
        </w:tc>
        <w:tc>
          <w:tcPr>
            <w:tcW w:w="1274" w:type="dxa"/>
            <w:tcBorders>
              <w:top w:val="single" w:sz="4" w:space="0" w:color="000000"/>
              <w:left w:val="single" w:sz="4" w:space="0" w:color="000000"/>
              <w:bottom w:val="single" w:sz="4" w:space="0" w:color="000000"/>
              <w:right w:val="single" w:sz="4" w:space="0" w:color="000000"/>
            </w:tcBorders>
          </w:tcPr>
          <w:p w14:paraId="4AE93B8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419</w:t>
            </w:r>
          </w:p>
        </w:tc>
        <w:tc>
          <w:tcPr>
            <w:tcW w:w="1276" w:type="dxa"/>
            <w:tcBorders>
              <w:top w:val="single" w:sz="4" w:space="0" w:color="000000"/>
              <w:left w:val="single" w:sz="4" w:space="0" w:color="000000"/>
              <w:bottom w:val="single" w:sz="4" w:space="0" w:color="000000"/>
              <w:right w:val="single" w:sz="4" w:space="0" w:color="000000"/>
            </w:tcBorders>
          </w:tcPr>
          <w:p w14:paraId="709DD5B3"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425</w:t>
            </w:r>
          </w:p>
        </w:tc>
        <w:tc>
          <w:tcPr>
            <w:tcW w:w="851" w:type="dxa"/>
            <w:tcBorders>
              <w:top w:val="single" w:sz="4" w:space="0" w:color="000000"/>
              <w:left w:val="single" w:sz="4" w:space="0" w:color="000000"/>
              <w:bottom w:val="single" w:sz="4" w:space="0" w:color="000000"/>
              <w:right w:val="single" w:sz="4" w:space="0" w:color="000000"/>
            </w:tcBorders>
          </w:tcPr>
          <w:p w14:paraId="721C398C"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392</w:t>
            </w:r>
          </w:p>
        </w:tc>
        <w:tc>
          <w:tcPr>
            <w:tcW w:w="992" w:type="dxa"/>
            <w:tcBorders>
              <w:top w:val="single" w:sz="4" w:space="0" w:color="000000"/>
              <w:left w:val="single" w:sz="4" w:space="0" w:color="000000"/>
              <w:bottom w:val="single" w:sz="4" w:space="0" w:color="000000"/>
              <w:right w:val="single" w:sz="4" w:space="0" w:color="000000"/>
            </w:tcBorders>
          </w:tcPr>
          <w:p w14:paraId="3FD8A413"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401</w:t>
            </w:r>
          </w:p>
        </w:tc>
        <w:tc>
          <w:tcPr>
            <w:tcW w:w="958" w:type="dxa"/>
            <w:tcBorders>
              <w:top w:val="single" w:sz="4" w:space="0" w:color="000000"/>
              <w:left w:val="single" w:sz="4" w:space="0" w:color="000000"/>
              <w:bottom w:val="single" w:sz="4" w:space="0" w:color="000000"/>
              <w:right w:val="single" w:sz="4" w:space="0" w:color="000000"/>
            </w:tcBorders>
          </w:tcPr>
          <w:p w14:paraId="751B3C4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389</w:t>
            </w:r>
          </w:p>
        </w:tc>
      </w:tr>
      <w:tr w:rsidR="000A4214" w14:paraId="554C6687" w14:textId="77777777">
        <w:trPr>
          <w:jc w:val="center"/>
        </w:trPr>
        <w:tc>
          <w:tcPr>
            <w:tcW w:w="3652" w:type="dxa"/>
            <w:tcBorders>
              <w:top w:val="single" w:sz="4" w:space="0" w:color="000000"/>
              <w:left w:val="single" w:sz="4" w:space="0" w:color="000000"/>
              <w:bottom w:val="single" w:sz="4" w:space="0" w:color="000000"/>
              <w:right w:val="single" w:sz="4" w:space="0" w:color="000000"/>
            </w:tcBorders>
            <w:shd w:val="clear" w:color="auto" w:fill="D7E3BC"/>
          </w:tcPr>
          <w:p w14:paraId="1AB97583" w14:textId="77777777" w:rsidR="000A4214" w:rsidRDefault="00111391">
            <w:pPr>
              <w:widowControl w:val="0"/>
              <w:jc w:val="both"/>
              <w:rPr>
                <w:rFonts w:ascii="Times New Roman" w:eastAsia="Times New Roman" w:hAnsi="Times New Roman" w:cs="Times New Roman"/>
                <w:b/>
              </w:rPr>
            </w:pPr>
            <w:r>
              <w:rPr>
                <w:rFonts w:ascii="Times New Roman" w:eastAsia="Times New Roman" w:hAnsi="Times New Roman" w:cs="Times New Roman"/>
                <w:b/>
              </w:rPr>
              <w:t>Општина Врбас</w:t>
            </w:r>
          </w:p>
        </w:tc>
        <w:tc>
          <w:tcPr>
            <w:tcW w:w="1274" w:type="dxa"/>
            <w:tcBorders>
              <w:top w:val="single" w:sz="4" w:space="0" w:color="000000"/>
              <w:left w:val="single" w:sz="4" w:space="0" w:color="000000"/>
              <w:bottom w:val="single" w:sz="4" w:space="0" w:color="000000"/>
              <w:right w:val="single" w:sz="4" w:space="0" w:color="000000"/>
            </w:tcBorders>
            <w:shd w:val="clear" w:color="auto" w:fill="D7E3BC"/>
          </w:tcPr>
          <w:p w14:paraId="57DDF0A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D7E3BC"/>
          </w:tcPr>
          <w:p w14:paraId="78668DE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30</w:t>
            </w:r>
          </w:p>
        </w:tc>
        <w:tc>
          <w:tcPr>
            <w:tcW w:w="851" w:type="dxa"/>
            <w:tcBorders>
              <w:top w:val="single" w:sz="4" w:space="0" w:color="000000"/>
              <w:left w:val="single" w:sz="4" w:space="0" w:color="000000"/>
              <w:bottom w:val="single" w:sz="4" w:space="0" w:color="000000"/>
              <w:right w:val="single" w:sz="4" w:space="0" w:color="000000"/>
            </w:tcBorders>
            <w:shd w:val="clear" w:color="auto" w:fill="D7E3BC"/>
          </w:tcPr>
          <w:p w14:paraId="1160046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D7E3BC"/>
          </w:tcPr>
          <w:p w14:paraId="2B95E9E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20</w:t>
            </w:r>
          </w:p>
        </w:tc>
        <w:tc>
          <w:tcPr>
            <w:tcW w:w="958" w:type="dxa"/>
            <w:tcBorders>
              <w:top w:val="single" w:sz="4" w:space="0" w:color="000000"/>
              <w:left w:val="single" w:sz="4" w:space="0" w:color="000000"/>
              <w:bottom w:val="single" w:sz="4" w:space="0" w:color="000000"/>
              <w:right w:val="single" w:sz="4" w:space="0" w:color="000000"/>
            </w:tcBorders>
            <w:shd w:val="clear" w:color="auto" w:fill="D7E3BC"/>
          </w:tcPr>
          <w:p w14:paraId="313B9192"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20</w:t>
            </w:r>
          </w:p>
        </w:tc>
      </w:tr>
    </w:tbl>
    <w:p w14:paraId="6F0636BC" w14:textId="77777777" w:rsidR="000A4214" w:rsidRDefault="00111391">
      <w:pPr>
        <w:spacing w:after="0" w:line="240" w:lineRule="auto"/>
        <w:jc w:val="both"/>
        <w:rPr>
          <w:rFonts w:ascii="Times New Roman" w:eastAsia="Times New Roman" w:hAnsi="Times New Roman" w:cs="Times New Roman"/>
        </w:rPr>
      </w:pPr>
      <w:r>
        <w:rPr>
          <w:rFonts w:ascii="Times New Roman" w:eastAsia="Times New Roman" w:hAnsi="Times New Roman" w:cs="Times New Roman"/>
          <w:vertAlign w:val="superscript"/>
        </w:rPr>
        <w:t>1</w:t>
      </w:r>
      <w:r>
        <w:rPr>
          <w:rFonts w:ascii="Times New Roman" w:eastAsia="Times New Roman" w:hAnsi="Times New Roman" w:cs="Times New Roman"/>
        </w:rPr>
        <w:t xml:space="preserve">/ </w:t>
      </w:r>
      <w:r>
        <w:rPr>
          <w:rFonts w:ascii="Times New Roman" w:eastAsia="Times New Roman" w:hAnsi="Times New Roman" w:cs="Times New Roman"/>
          <w:sz w:val="20"/>
          <w:szCs w:val="20"/>
        </w:rPr>
        <w:t>Укључене су следеће правне форме привредних друштава: друштво са ограниченом одговорношћу, акционарско друштво, ортачко друштво, командитно друштво, огранак страног привредног друштва и представништво страног привредног друштва.</w:t>
      </w:r>
    </w:p>
    <w:p w14:paraId="5C6EC780" w14:textId="77777777" w:rsidR="000A4214" w:rsidRDefault="0011139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rPr>
        <w:t>/</w:t>
      </w:r>
      <w:r>
        <w:rPr>
          <w:rFonts w:ascii="Times New Roman" w:eastAsia="Times New Roman" w:hAnsi="Times New Roman" w:cs="Times New Roman"/>
          <w:vertAlign w:val="superscript"/>
        </w:rPr>
        <w:t>2</w:t>
      </w:r>
      <w:r>
        <w:rPr>
          <w:rFonts w:ascii="Times New Roman" w:eastAsia="Times New Roman" w:hAnsi="Times New Roman" w:cs="Times New Roman"/>
          <w:sz w:val="20"/>
          <w:szCs w:val="20"/>
        </w:rPr>
        <w:t>За период 2017</w:t>
      </w:r>
      <w:r>
        <w:rPr>
          <w:rFonts w:ascii="Times New Roman" w:eastAsia="Times New Roman" w:hAnsi="Times New Roman" w:cs="Times New Roman"/>
          <w:sz w:val="24"/>
          <w:szCs w:val="24"/>
        </w:rPr>
        <w:t>–</w:t>
      </w:r>
      <w:r>
        <w:rPr>
          <w:rFonts w:ascii="Times New Roman" w:eastAsia="Times New Roman" w:hAnsi="Times New Roman" w:cs="Times New Roman"/>
          <w:sz w:val="20"/>
          <w:szCs w:val="20"/>
        </w:rPr>
        <w:t>2020. пресек на дан 31. 12. За 2021. годину пресек на дан 28. 10. 2021.</w:t>
      </w:r>
    </w:p>
    <w:p w14:paraId="20E8676C" w14:textId="77777777" w:rsidR="000A4214" w:rsidRDefault="0011139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Извор: Агенција за привредне регистре.</w:t>
      </w:r>
    </w:p>
    <w:p w14:paraId="0ED45F9F" w14:textId="77777777" w:rsidR="000A4214" w:rsidRDefault="000A4214">
      <w:pPr>
        <w:spacing w:after="0" w:line="240" w:lineRule="auto"/>
        <w:jc w:val="both"/>
        <w:rPr>
          <w:rFonts w:ascii="Times New Roman" w:eastAsia="Times New Roman" w:hAnsi="Times New Roman" w:cs="Times New Roman"/>
        </w:rPr>
      </w:pPr>
    </w:p>
    <w:p w14:paraId="046511E2"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 основу интервјуа са члановима Радне групе за израду Плана развоја општине Врбас за период 2022–2030. године, као значајнија и већа пољопривредна предузећа у општини могу се издвојити: ПП „Сава Ковачевић</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а.д. Врбас (предузеће има дугу традицију постојања, запошљава велики број радника, има диверсификовану структуру производње и располаже великим површинама земљишта у сопственом власништу; у 2021. години власник овог предузећа постала је компанија „Индустрија меса Матијевић</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д.о.о. Нови Сад); „Carnex</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д.о.о. Индустрија меса Врбас (предузеће има дугу традицију постојања, заокружен систем производње и велики број пословних центара за биљну производњу, производњу сточне хране, фарме, кланицу); „Novi Trading NS</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д.о.о. Змајево (заокружени систем биљне и сточарске производње); „Нови Агро</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д.о.о. Змајево; „Supermix Plus</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д.о.о. Куцура и друга.</w:t>
      </w:r>
    </w:p>
    <w:p w14:paraId="346BCAA4"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Број задруга које послују у области 01 (Пољопривреда, лов и одговарајуће услужне делатности), у активном статусу регистрованих у општини Врбас у 2021. години износи 38, што је за две задруге више него у 2017. години (Табела 12). Истовремено, свега 4 задруге су уписане у Регистар пољопривредних газдинстава (Управа за трезор, Портал отворених података), а овако мали број уписаних задруга у РПГ објашњава се, како недостатком заинтересованости задруга за упис (услед малих износа основних подстицаја за биљну производњу у оквиру директних плаћања), тако и тиме да један број задруга нема или не обрађује пољопривредно земљиште, као и да упис у РПГ није обавезан.</w:t>
      </w:r>
    </w:p>
    <w:p w14:paraId="2649D09E" w14:textId="77777777" w:rsidR="000A4214" w:rsidRDefault="0011139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Табела 12. </w:t>
      </w:r>
      <w:r>
        <w:rPr>
          <w:rFonts w:ascii="Times New Roman" w:eastAsia="Times New Roman" w:hAnsi="Times New Roman" w:cs="Times New Roman"/>
          <w:sz w:val="24"/>
          <w:szCs w:val="24"/>
        </w:rPr>
        <w:t>Број задруга у области 01 Пољопривреда, лов и одговарајуће услужне активности, активан статус, период 2017–2021. године/</w:t>
      </w:r>
      <w:r>
        <w:rPr>
          <w:rFonts w:ascii="Times New Roman" w:eastAsia="Times New Roman" w:hAnsi="Times New Roman" w:cs="Times New Roman"/>
          <w:sz w:val="24"/>
          <w:szCs w:val="24"/>
          <w:vertAlign w:val="superscript"/>
        </w:rPr>
        <w:t>1</w:t>
      </w:r>
    </w:p>
    <w:tbl>
      <w:tblPr>
        <w:tblW w:w="9072" w:type="dxa"/>
        <w:tblLayout w:type="fixed"/>
        <w:tblLook w:val="0400" w:firstRow="0" w:lastRow="0" w:firstColumn="0" w:lastColumn="0" w:noHBand="0" w:noVBand="1"/>
      </w:tblPr>
      <w:tblGrid>
        <w:gridCol w:w="3829"/>
        <w:gridCol w:w="1275"/>
        <w:gridCol w:w="1276"/>
        <w:gridCol w:w="851"/>
        <w:gridCol w:w="991"/>
        <w:gridCol w:w="850"/>
      </w:tblGrid>
      <w:tr w:rsidR="000A4214" w14:paraId="551BDC52" w14:textId="77777777">
        <w:tc>
          <w:tcPr>
            <w:tcW w:w="3828" w:type="dxa"/>
            <w:tcBorders>
              <w:top w:val="single" w:sz="4" w:space="0" w:color="000000"/>
              <w:left w:val="single" w:sz="4" w:space="0" w:color="000000"/>
              <w:bottom w:val="single" w:sz="4" w:space="0" w:color="000000"/>
              <w:right w:val="single" w:sz="4" w:space="0" w:color="000000"/>
            </w:tcBorders>
          </w:tcPr>
          <w:p w14:paraId="78D50B78" w14:textId="77777777" w:rsidR="000A4214" w:rsidRDefault="000A4214">
            <w:pPr>
              <w:widowControl w:val="0"/>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0260523"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2017.</w:t>
            </w:r>
          </w:p>
        </w:tc>
        <w:tc>
          <w:tcPr>
            <w:tcW w:w="1276" w:type="dxa"/>
            <w:tcBorders>
              <w:top w:val="single" w:sz="4" w:space="0" w:color="000000"/>
              <w:left w:val="single" w:sz="4" w:space="0" w:color="000000"/>
              <w:bottom w:val="single" w:sz="4" w:space="0" w:color="000000"/>
              <w:right w:val="single" w:sz="4" w:space="0" w:color="000000"/>
            </w:tcBorders>
          </w:tcPr>
          <w:p w14:paraId="6D9FE402"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2018.</w:t>
            </w:r>
          </w:p>
        </w:tc>
        <w:tc>
          <w:tcPr>
            <w:tcW w:w="851" w:type="dxa"/>
            <w:tcBorders>
              <w:top w:val="single" w:sz="4" w:space="0" w:color="000000"/>
              <w:left w:val="single" w:sz="4" w:space="0" w:color="000000"/>
              <w:bottom w:val="single" w:sz="4" w:space="0" w:color="000000"/>
              <w:right w:val="single" w:sz="4" w:space="0" w:color="000000"/>
            </w:tcBorders>
          </w:tcPr>
          <w:p w14:paraId="29FB07D4"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2019.</w:t>
            </w:r>
          </w:p>
        </w:tc>
        <w:tc>
          <w:tcPr>
            <w:tcW w:w="991" w:type="dxa"/>
            <w:tcBorders>
              <w:top w:val="single" w:sz="4" w:space="0" w:color="000000"/>
              <w:left w:val="single" w:sz="4" w:space="0" w:color="000000"/>
              <w:bottom w:val="single" w:sz="4" w:space="0" w:color="000000"/>
              <w:right w:val="single" w:sz="4" w:space="0" w:color="000000"/>
            </w:tcBorders>
          </w:tcPr>
          <w:p w14:paraId="1E682776"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2020.</w:t>
            </w:r>
          </w:p>
        </w:tc>
        <w:tc>
          <w:tcPr>
            <w:tcW w:w="850" w:type="dxa"/>
            <w:tcBorders>
              <w:top w:val="single" w:sz="4" w:space="0" w:color="000000"/>
              <w:left w:val="single" w:sz="4" w:space="0" w:color="000000"/>
              <w:bottom w:val="single" w:sz="4" w:space="0" w:color="000000"/>
              <w:right w:val="single" w:sz="4" w:space="0" w:color="000000"/>
            </w:tcBorders>
          </w:tcPr>
          <w:p w14:paraId="1CBE8C5F"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2021.</w:t>
            </w:r>
          </w:p>
        </w:tc>
      </w:tr>
      <w:tr w:rsidR="000A4214" w14:paraId="58043D65" w14:textId="77777777">
        <w:tc>
          <w:tcPr>
            <w:tcW w:w="3828" w:type="dxa"/>
            <w:tcBorders>
              <w:top w:val="single" w:sz="4" w:space="0" w:color="000000"/>
              <w:left w:val="single" w:sz="4" w:space="0" w:color="000000"/>
              <w:bottom w:val="single" w:sz="4" w:space="0" w:color="000000"/>
              <w:right w:val="single" w:sz="4" w:space="0" w:color="000000"/>
            </w:tcBorders>
          </w:tcPr>
          <w:p w14:paraId="28E01E64"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Република Србија</w:t>
            </w:r>
          </w:p>
        </w:tc>
        <w:tc>
          <w:tcPr>
            <w:tcW w:w="1275" w:type="dxa"/>
            <w:tcBorders>
              <w:top w:val="single" w:sz="4" w:space="0" w:color="000000"/>
              <w:left w:val="single" w:sz="4" w:space="0" w:color="000000"/>
              <w:bottom w:val="single" w:sz="4" w:space="0" w:color="000000"/>
              <w:right w:val="single" w:sz="4" w:space="0" w:color="000000"/>
            </w:tcBorders>
          </w:tcPr>
          <w:p w14:paraId="38FAABA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1.461</w:t>
            </w:r>
          </w:p>
        </w:tc>
        <w:tc>
          <w:tcPr>
            <w:tcW w:w="1276" w:type="dxa"/>
            <w:tcBorders>
              <w:top w:val="single" w:sz="4" w:space="0" w:color="000000"/>
              <w:left w:val="single" w:sz="4" w:space="0" w:color="000000"/>
              <w:bottom w:val="single" w:sz="4" w:space="0" w:color="000000"/>
              <w:right w:val="single" w:sz="4" w:space="0" w:color="000000"/>
            </w:tcBorders>
          </w:tcPr>
          <w:p w14:paraId="03992BC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1.522</w:t>
            </w:r>
          </w:p>
        </w:tc>
        <w:tc>
          <w:tcPr>
            <w:tcW w:w="851" w:type="dxa"/>
            <w:tcBorders>
              <w:top w:val="single" w:sz="4" w:space="0" w:color="000000"/>
              <w:left w:val="single" w:sz="4" w:space="0" w:color="000000"/>
              <w:bottom w:val="single" w:sz="4" w:space="0" w:color="000000"/>
              <w:right w:val="single" w:sz="4" w:space="0" w:color="000000"/>
            </w:tcBorders>
          </w:tcPr>
          <w:p w14:paraId="263009B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1.658</w:t>
            </w:r>
          </w:p>
        </w:tc>
        <w:tc>
          <w:tcPr>
            <w:tcW w:w="991" w:type="dxa"/>
            <w:tcBorders>
              <w:top w:val="single" w:sz="4" w:space="0" w:color="000000"/>
              <w:left w:val="single" w:sz="4" w:space="0" w:color="000000"/>
              <w:bottom w:val="single" w:sz="4" w:space="0" w:color="000000"/>
              <w:right w:val="single" w:sz="4" w:space="0" w:color="000000"/>
            </w:tcBorders>
          </w:tcPr>
          <w:p w14:paraId="1BF093D5"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1.720</w:t>
            </w:r>
          </w:p>
        </w:tc>
        <w:tc>
          <w:tcPr>
            <w:tcW w:w="850" w:type="dxa"/>
            <w:tcBorders>
              <w:top w:val="single" w:sz="4" w:space="0" w:color="000000"/>
              <w:left w:val="single" w:sz="4" w:space="0" w:color="000000"/>
              <w:bottom w:val="single" w:sz="4" w:space="0" w:color="000000"/>
              <w:right w:val="single" w:sz="4" w:space="0" w:color="000000"/>
            </w:tcBorders>
          </w:tcPr>
          <w:p w14:paraId="7764259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1.836</w:t>
            </w:r>
          </w:p>
        </w:tc>
      </w:tr>
      <w:tr w:rsidR="000A4214" w14:paraId="470C55BE" w14:textId="77777777">
        <w:tc>
          <w:tcPr>
            <w:tcW w:w="3828" w:type="dxa"/>
            <w:tcBorders>
              <w:top w:val="single" w:sz="4" w:space="0" w:color="000000"/>
              <w:left w:val="single" w:sz="4" w:space="0" w:color="000000"/>
              <w:bottom w:val="single" w:sz="4" w:space="0" w:color="000000"/>
              <w:right w:val="single" w:sz="4" w:space="0" w:color="000000"/>
            </w:tcBorders>
          </w:tcPr>
          <w:p w14:paraId="35B4369D"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АП Војводина</w:t>
            </w:r>
          </w:p>
        </w:tc>
        <w:tc>
          <w:tcPr>
            <w:tcW w:w="1275" w:type="dxa"/>
            <w:tcBorders>
              <w:top w:val="single" w:sz="4" w:space="0" w:color="000000"/>
              <w:left w:val="single" w:sz="4" w:space="0" w:color="000000"/>
              <w:bottom w:val="single" w:sz="4" w:space="0" w:color="000000"/>
              <w:right w:val="single" w:sz="4" w:space="0" w:color="000000"/>
            </w:tcBorders>
          </w:tcPr>
          <w:p w14:paraId="5DA00697"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689</w:t>
            </w:r>
          </w:p>
        </w:tc>
        <w:tc>
          <w:tcPr>
            <w:tcW w:w="1276" w:type="dxa"/>
            <w:tcBorders>
              <w:top w:val="single" w:sz="4" w:space="0" w:color="000000"/>
              <w:left w:val="single" w:sz="4" w:space="0" w:color="000000"/>
              <w:bottom w:val="single" w:sz="4" w:space="0" w:color="000000"/>
              <w:right w:val="single" w:sz="4" w:space="0" w:color="000000"/>
            </w:tcBorders>
          </w:tcPr>
          <w:p w14:paraId="5F29BBB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691</w:t>
            </w:r>
          </w:p>
        </w:tc>
        <w:tc>
          <w:tcPr>
            <w:tcW w:w="851" w:type="dxa"/>
            <w:tcBorders>
              <w:top w:val="single" w:sz="4" w:space="0" w:color="000000"/>
              <w:left w:val="single" w:sz="4" w:space="0" w:color="000000"/>
              <w:bottom w:val="single" w:sz="4" w:space="0" w:color="000000"/>
              <w:right w:val="single" w:sz="4" w:space="0" w:color="000000"/>
            </w:tcBorders>
          </w:tcPr>
          <w:p w14:paraId="5F13A57C"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729</w:t>
            </w:r>
          </w:p>
        </w:tc>
        <w:tc>
          <w:tcPr>
            <w:tcW w:w="991" w:type="dxa"/>
            <w:tcBorders>
              <w:top w:val="single" w:sz="4" w:space="0" w:color="000000"/>
              <w:left w:val="single" w:sz="4" w:space="0" w:color="000000"/>
              <w:bottom w:val="single" w:sz="4" w:space="0" w:color="000000"/>
              <w:right w:val="single" w:sz="4" w:space="0" w:color="000000"/>
            </w:tcBorders>
          </w:tcPr>
          <w:p w14:paraId="0FC07AD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765</w:t>
            </w:r>
          </w:p>
        </w:tc>
        <w:tc>
          <w:tcPr>
            <w:tcW w:w="850" w:type="dxa"/>
            <w:tcBorders>
              <w:top w:val="single" w:sz="4" w:space="0" w:color="000000"/>
              <w:left w:val="single" w:sz="4" w:space="0" w:color="000000"/>
              <w:bottom w:val="single" w:sz="4" w:space="0" w:color="000000"/>
              <w:right w:val="single" w:sz="4" w:space="0" w:color="000000"/>
            </w:tcBorders>
          </w:tcPr>
          <w:p w14:paraId="66362A94"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809</w:t>
            </w:r>
          </w:p>
        </w:tc>
      </w:tr>
      <w:tr w:rsidR="000A4214" w14:paraId="1FAD1A12" w14:textId="77777777">
        <w:tc>
          <w:tcPr>
            <w:tcW w:w="3828" w:type="dxa"/>
            <w:tcBorders>
              <w:top w:val="single" w:sz="4" w:space="0" w:color="000000"/>
              <w:left w:val="single" w:sz="4" w:space="0" w:color="000000"/>
              <w:bottom w:val="single" w:sz="4" w:space="0" w:color="000000"/>
              <w:right w:val="single" w:sz="4" w:space="0" w:color="000000"/>
            </w:tcBorders>
          </w:tcPr>
          <w:p w14:paraId="3F423C08"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Јужнобачка област</w:t>
            </w:r>
          </w:p>
        </w:tc>
        <w:tc>
          <w:tcPr>
            <w:tcW w:w="1275" w:type="dxa"/>
            <w:tcBorders>
              <w:top w:val="single" w:sz="4" w:space="0" w:color="000000"/>
              <w:left w:val="single" w:sz="4" w:space="0" w:color="000000"/>
              <w:bottom w:val="single" w:sz="4" w:space="0" w:color="000000"/>
              <w:right w:val="single" w:sz="4" w:space="0" w:color="000000"/>
            </w:tcBorders>
          </w:tcPr>
          <w:p w14:paraId="6B05C8DC"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169</w:t>
            </w:r>
          </w:p>
        </w:tc>
        <w:tc>
          <w:tcPr>
            <w:tcW w:w="1276" w:type="dxa"/>
            <w:tcBorders>
              <w:top w:val="single" w:sz="4" w:space="0" w:color="000000"/>
              <w:left w:val="single" w:sz="4" w:space="0" w:color="000000"/>
              <w:bottom w:val="single" w:sz="4" w:space="0" w:color="000000"/>
              <w:right w:val="single" w:sz="4" w:space="0" w:color="000000"/>
            </w:tcBorders>
          </w:tcPr>
          <w:p w14:paraId="57F7847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168</w:t>
            </w:r>
          </w:p>
        </w:tc>
        <w:tc>
          <w:tcPr>
            <w:tcW w:w="851" w:type="dxa"/>
            <w:tcBorders>
              <w:top w:val="single" w:sz="4" w:space="0" w:color="000000"/>
              <w:left w:val="single" w:sz="4" w:space="0" w:color="000000"/>
              <w:bottom w:val="single" w:sz="4" w:space="0" w:color="000000"/>
              <w:right w:val="single" w:sz="4" w:space="0" w:color="000000"/>
            </w:tcBorders>
          </w:tcPr>
          <w:p w14:paraId="4DA20D2B"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179</w:t>
            </w:r>
          </w:p>
        </w:tc>
        <w:tc>
          <w:tcPr>
            <w:tcW w:w="991" w:type="dxa"/>
            <w:tcBorders>
              <w:top w:val="single" w:sz="4" w:space="0" w:color="000000"/>
              <w:left w:val="single" w:sz="4" w:space="0" w:color="000000"/>
              <w:bottom w:val="single" w:sz="4" w:space="0" w:color="000000"/>
              <w:right w:val="single" w:sz="4" w:space="0" w:color="000000"/>
            </w:tcBorders>
          </w:tcPr>
          <w:p w14:paraId="5CE00416"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199</w:t>
            </w:r>
          </w:p>
        </w:tc>
        <w:tc>
          <w:tcPr>
            <w:tcW w:w="850" w:type="dxa"/>
            <w:tcBorders>
              <w:top w:val="single" w:sz="4" w:space="0" w:color="000000"/>
              <w:left w:val="single" w:sz="4" w:space="0" w:color="000000"/>
              <w:bottom w:val="single" w:sz="4" w:space="0" w:color="000000"/>
              <w:right w:val="single" w:sz="4" w:space="0" w:color="000000"/>
            </w:tcBorders>
          </w:tcPr>
          <w:p w14:paraId="1909953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210</w:t>
            </w:r>
          </w:p>
        </w:tc>
      </w:tr>
      <w:tr w:rsidR="000A4214" w14:paraId="266D93EB" w14:textId="77777777">
        <w:tc>
          <w:tcPr>
            <w:tcW w:w="3828" w:type="dxa"/>
            <w:tcBorders>
              <w:top w:val="single" w:sz="4" w:space="0" w:color="000000"/>
              <w:left w:val="single" w:sz="4" w:space="0" w:color="000000"/>
              <w:bottom w:val="single" w:sz="4" w:space="0" w:color="000000"/>
              <w:right w:val="single" w:sz="4" w:space="0" w:color="000000"/>
            </w:tcBorders>
            <w:shd w:val="clear" w:color="auto" w:fill="D7E3BC"/>
          </w:tcPr>
          <w:p w14:paraId="4ECDF0E4" w14:textId="77777777" w:rsidR="000A4214" w:rsidRDefault="00111391">
            <w:pPr>
              <w:widowControl w:val="0"/>
              <w:jc w:val="both"/>
              <w:rPr>
                <w:rFonts w:ascii="Times New Roman" w:eastAsia="Times New Roman" w:hAnsi="Times New Roman" w:cs="Times New Roman"/>
                <w:b/>
              </w:rPr>
            </w:pPr>
            <w:r>
              <w:rPr>
                <w:rFonts w:ascii="Times New Roman" w:eastAsia="Times New Roman" w:hAnsi="Times New Roman" w:cs="Times New Roman"/>
                <w:b/>
              </w:rPr>
              <w:t>Општина Врбас</w:t>
            </w:r>
          </w:p>
        </w:tc>
        <w:tc>
          <w:tcPr>
            <w:tcW w:w="1275" w:type="dxa"/>
            <w:tcBorders>
              <w:top w:val="single" w:sz="4" w:space="0" w:color="000000"/>
              <w:left w:val="single" w:sz="4" w:space="0" w:color="000000"/>
              <w:bottom w:val="single" w:sz="4" w:space="0" w:color="000000"/>
              <w:right w:val="single" w:sz="4" w:space="0" w:color="000000"/>
            </w:tcBorders>
            <w:shd w:val="clear" w:color="auto" w:fill="D7E3BC"/>
          </w:tcPr>
          <w:p w14:paraId="4D9F383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36</w:t>
            </w:r>
          </w:p>
        </w:tc>
        <w:tc>
          <w:tcPr>
            <w:tcW w:w="1276" w:type="dxa"/>
            <w:tcBorders>
              <w:top w:val="single" w:sz="4" w:space="0" w:color="000000"/>
              <w:left w:val="single" w:sz="4" w:space="0" w:color="000000"/>
              <w:bottom w:val="single" w:sz="4" w:space="0" w:color="000000"/>
              <w:right w:val="single" w:sz="4" w:space="0" w:color="000000"/>
            </w:tcBorders>
            <w:shd w:val="clear" w:color="auto" w:fill="D7E3BC"/>
          </w:tcPr>
          <w:p w14:paraId="703B6FB6"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36</w:t>
            </w:r>
          </w:p>
        </w:tc>
        <w:tc>
          <w:tcPr>
            <w:tcW w:w="851" w:type="dxa"/>
            <w:tcBorders>
              <w:top w:val="single" w:sz="4" w:space="0" w:color="000000"/>
              <w:left w:val="single" w:sz="4" w:space="0" w:color="000000"/>
              <w:bottom w:val="single" w:sz="4" w:space="0" w:color="000000"/>
              <w:right w:val="single" w:sz="4" w:space="0" w:color="000000"/>
            </w:tcBorders>
            <w:shd w:val="clear" w:color="auto" w:fill="D7E3BC"/>
          </w:tcPr>
          <w:p w14:paraId="333996F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36</w:t>
            </w:r>
          </w:p>
        </w:tc>
        <w:tc>
          <w:tcPr>
            <w:tcW w:w="991" w:type="dxa"/>
            <w:tcBorders>
              <w:top w:val="single" w:sz="4" w:space="0" w:color="000000"/>
              <w:left w:val="single" w:sz="4" w:space="0" w:color="000000"/>
              <w:bottom w:val="single" w:sz="4" w:space="0" w:color="000000"/>
              <w:right w:val="single" w:sz="4" w:space="0" w:color="000000"/>
            </w:tcBorders>
            <w:shd w:val="clear" w:color="auto" w:fill="D7E3BC"/>
          </w:tcPr>
          <w:p w14:paraId="43629478"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35</w:t>
            </w:r>
          </w:p>
        </w:tc>
        <w:tc>
          <w:tcPr>
            <w:tcW w:w="850" w:type="dxa"/>
            <w:tcBorders>
              <w:top w:val="single" w:sz="4" w:space="0" w:color="000000"/>
              <w:left w:val="single" w:sz="4" w:space="0" w:color="000000"/>
              <w:bottom w:val="single" w:sz="4" w:space="0" w:color="000000"/>
              <w:right w:val="single" w:sz="4" w:space="0" w:color="000000"/>
            </w:tcBorders>
            <w:shd w:val="clear" w:color="auto" w:fill="D7E3BC"/>
          </w:tcPr>
          <w:p w14:paraId="37E6A5A6"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38</w:t>
            </w:r>
          </w:p>
        </w:tc>
      </w:tr>
    </w:tbl>
    <w:p w14:paraId="54D06434" w14:textId="77777777" w:rsidR="000A4214" w:rsidRDefault="00111391">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vertAlign w:val="superscript"/>
        </w:rPr>
        <w:t xml:space="preserve">1 </w:t>
      </w:r>
      <w:r>
        <w:rPr>
          <w:rFonts w:ascii="Times New Roman" w:eastAsia="Times New Roman" w:hAnsi="Times New Roman" w:cs="Times New Roman"/>
          <w:sz w:val="20"/>
          <w:szCs w:val="20"/>
        </w:rPr>
        <w:t>За период 2017</w:t>
      </w:r>
      <w:r>
        <w:rPr>
          <w:rFonts w:ascii="Times New Roman" w:eastAsia="Times New Roman" w:hAnsi="Times New Roman" w:cs="Times New Roman"/>
          <w:sz w:val="24"/>
          <w:szCs w:val="24"/>
        </w:rPr>
        <w:t>–</w:t>
      </w:r>
      <w:r>
        <w:rPr>
          <w:rFonts w:ascii="Times New Roman" w:eastAsia="Times New Roman" w:hAnsi="Times New Roman" w:cs="Times New Roman"/>
          <w:sz w:val="20"/>
          <w:szCs w:val="20"/>
        </w:rPr>
        <w:t>2020. пресек на дан 31. 12. За 2021. годину пресек на дан 28. 10. 2021.</w:t>
      </w:r>
    </w:p>
    <w:p w14:paraId="59A103D1" w14:textId="77777777" w:rsidR="000A4214" w:rsidRDefault="0011139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Извор: Агенција за привредне регистре.</w:t>
      </w:r>
    </w:p>
    <w:p w14:paraId="111C5C78"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Општина има релативно добро развијен сегмент задругарства (</w:t>
      </w:r>
      <w:r>
        <w:rPr>
          <w:rFonts w:ascii="Times New Roman" w:eastAsia="Times New Roman" w:hAnsi="Times New Roman" w:cs="Times New Roman"/>
          <w:i/>
          <w:iCs/>
          <w:sz w:val="24"/>
          <w:szCs w:val="24"/>
        </w:rPr>
        <w:t>Стратегија одрживог развоја општине Врбас</w:t>
      </w:r>
      <w:r>
        <w:rPr>
          <w:rFonts w:ascii="Times New Roman" w:eastAsia="Times New Roman" w:hAnsi="Times New Roman" w:cs="Times New Roman"/>
          <w:sz w:val="24"/>
          <w:szCs w:val="24"/>
        </w:rPr>
        <w:t>, 2014–2020). Задруге су већином општег типа и доминантно послују у сектору ратарства и уговарања и откупа ратарских култура (житарице, индустријско биље) од пољопривредних произвођача. Мали је број специјализованих задруга у свим другим секторима производње.</w:t>
      </w:r>
    </w:p>
    <w:p w14:paraId="08141E85" w14:textId="77777777" w:rsidR="000A4214" w:rsidRDefault="0011139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Структура земљишних поседа правних лица регистрованих у за пољопривредну производњу.</w:t>
      </w:r>
      <w:r>
        <w:rPr>
          <w:rFonts w:ascii="Times New Roman" w:eastAsia="Times New Roman" w:hAnsi="Times New Roman" w:cs="Times New Roman"/>
          <w:sz w:val="24"/>
          <w:szCs w:val="24"/>
        </w:rPr>
        <w:t xml:space="preserve"> На основу података РЗС (</w:t>
      </w:r>
      <w:r>
        <w:rPr>
          <w:rFonts w:ascii="Times New Roman" w:eastAsia="Times New Roman" w:hAnsi="Times New Roman" w:cs="Times New Roman"/>
          <w:i/>
          <w:iCs/>
          <w:sz w:val="24"/>
          <w:szCs w:val="24"/>
        </w:rPr>
        <w:t>Анкета о структури пољопривредних газдинстава</w:t>
      </w:r>
      <w:r>
        <w:rPr>
          <w:rFonts w:ascii="Times New Roman" w:eastAsia="Times New Roman" w:hAnsi="Times New Roman" w:cs="Times New Roman"/>
          <w:sz w:val="24"/>
          <w:szCs w:val="24"/>
        </w:rPr>
        <w:t>), 2018. године у општини Врбас евидентирано је 14 правних лица у сектору пољопривреде (0,5% укупног броја пољопривредних газдинстава), која располажу са 12.587 ха или 42,3% укупних површина коришћеног пољопривредног земљишта у општини, што је знатно изнад просека на вишим територијалним нивоима поређења (Табела 13). Највећим процентом КПЗ правних лица (99%) располажу правна лица у категорији са 100 и више хектара земљишта, а оваква структура земљишних поседа у складу је са просеком на вишим територијалним нивоима.</w:t>
      </w:r>
    </w:p>
    <w:p w14:paraId="06E38D44" w14:textId="77777777" w:rsidR="000A4214" w:rsidRDefault="000A4214">
      <w:pPr>
        <w:spacing w:after="0" w:line="240" w:lineRule="auto"/>
        <w:jc w:val="both"/>
        <w:rPr>
          <w:rFonts w:ascii="Times New Roman" w:eastAsia="Times New Roman" w:hAnsi="Times New Roman" w:cs="Times New Roman"/>
          <w:sz w:val="24"/>
          <w:szCs w:val="24"/>
        </w:rPr>
      </w:pPr>
    </w:p>
    <w:p w14:paraId="62AF1EFA" w14:textId="77777777" w:rsidR="000A4214" w:rsidRDefault="0011139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Табела 13. </w:t>
      </w:r>
      <w:r>
        <w:rPr>
          <w:rFonts w:ascii="Times New Roman" w:eastAsia="Times New Roman" w:hAnsi="Times New Roman" w:cs="Times New Roman"/>
          <w:sz w:val="24"/>
          <w:szCs w:val="24"/>
        </w:rPr>
        <w:t>Број правних лица и коришћено пољопривредно земљиште, 2012–2018. године</w:t>
      </w:r>
    </w:p>
    <w:tbl>
      <w:tblPr>
        <w:tblW w:w="9041" w:type="dxa"/>
        <w:jc w:val="center"/>
        <w:tblLayout w:type="fixed"/>
        <w:tblLook w:val="0400" w:firstRow="0" w:lastRow="0" w:firstColumn="0" w:lastColumn="0" w:noHBand="0" w:noVBand="1"/>
      </w:tblPr>
      <w:tblGrid>
        <w:gridCol w:w="3901"/>
        <w:gridCol w:w="1282"/>
        <w:gridCol w:w="1272"/>
        <w:gridCol w:w="1414"/>
        <w:gridCol w:w="1172"/>
      </w:tblGrid>
      <w:tr w:rsidR="000A4214" w14:paraId="0167D1B5"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73443C47" w14:textId="77777777" w:rsidR="000A4214" w:rsidRDefault="000A4214">
            <w:pPr>
              <w:widowControl w:val="0"/>
              <w:jc w:val="both"/>
              <w:rPr>
                <w:rFonts w:ascii="Times New Roman" w:eastAsia="Times New Roman" w:hAnsi="Times New Roman" w:cs="Times New Roman"/>
              </w:rPr>
            </w:pPr>
          </w:p>
        </w:tc>
        <w:tc>
          <w:tcPr>
            <w:tcW w:w="1282" w:type="dxa"/>
            <w:tcBorders>
              <w:top w:val="single" w:sz="4" w:space="0" w:color="000000"/>
              <w:left w:val="single" w:sz="4" w:space="0" w:color="000000"/>
              <w:bottom w:val="single" w:sz="4" w:space="0" w:color="000000"/>
              <w:right w:val="single" w:sz="4" w:space="0" w:color="000000"/>
            </w:tcBorders>
            <w:vAlign w:val="center"/>
          </w:tcPr>
          <w:p w14:paraId="1BC9595F"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Република Србија</w:t>
            </w:r>
          </w:p>
        </w:tc>
        <w:tc>
          <w:tcPr>
            <w:tcW w:w="1272" w:type="dxa"/>
            <w:tcBorders>
              <w:top w:val="single" w:sz="4" w:space="0" w:color="000000"/>
              <w:left w:val="single" w:sz="4" w:space="0" w:color="000000"/>
              <w:bottom w:val="single" w:sz="4" w:space="0" w:color="000000"/>
              <w:right w:val="single" w:sz="4" w:space="0" w:color="000000"/>
            </w:tcBorders>
            <w:vAlign w:val="center"/>
          </w:tcPr>
          <w:p w14:paraId="16764271"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АП</w:t>
            </w:r>
          </w:p>
          <w:p w14:paraId="51DFB3FA"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Војводина</w:t>
            </w:r>
          </w:p>
        </w:tc>
        <w:tc>
          <w:tcPr>
            <w:tcW w:w="1414" w:type="dxa"/>
            <w:tcBorders>
              <w:top w:val="single" w:sz="4" w:space="0" w:color="000000"/>
              <w:left w:val="single" w:sz="4" w:space="0" w:color="000000"/>
              <w:bottom w:val="single" w:sz="4" w:space="0" w:color="000000"/>
              <w:right w:val="single" w:sz="4" w:space="0" w:color="000000"/>
            </w:tcBorders>
            <w:vAlign w:val="center"/>
          </w:tcPr>
          <w:p w14:paraId="0E08703D"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Јужнобачка област</w:t>
            </w:r>
          </w:p>
        </w:tc>
        <w:tc>
          <w:tcPr>
            <w:tcW w:w="1172" w:type="dxa"/>
            <w:tcBorders>
              <w:top w:val="single" w:sz="4" w:space="0" w:color="000000"/>
              <w:left w:val="single" w:sz="4" w:space="0" w:color="000000"/>
              <w:bottom w:val="single" w:sz="4" w:space="0" w:color="000000"/>
              <w:right w:val="single" w:sz="4" w:space="0" w:color="000000"/>
            </w:tcBorders>
            <w:vAlign w:val="center"/>
          </w:tcPr>
          <w:p w14:paraId="74C695A5"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Општина Врбас</w:t>
            </w:r>
          </w:p>
        </w:tc>
      </w:tr>
      <w:tr w:rsidR="000A4214" w14:paraId="2A9F672B"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06E4BC7D" w14:textId="77777777" w:rsidR="000A4214" w:rsidRDefault="000A4214">
            <w:pPr>
              <w:widowControl w:val="0"/>
              <w:jc w:val="both"/>
              <w:rPr>
                <w:rFonts w:ascii="Times New Roman" w:eastAsia="Times New Roman" w:hAnsi="Times New Roman" w:cs="Times New Roman"/>
              </w:rPr>
            </w:pPr>
          </w:p>
        </w:tc>
        <w:tc>
          <w:tcPr>
            <w:tcW w:w="5140" w:type="dxa"/>
            <w:gridSpan w:val="4"/>
            <w:tcBorders>
              <w:top w:val="single" w:sz="4" w:space="0" w:color="000000"/>
              <w:left w:val="single" w:sz="4" w:space="0" w:color="000000"/>
              <w:bottom w:val="single" w:sz="4" w:space="0" w:color="000000"/>
              <w:right w:val="single" w:sz="4" w:space="0" w:color="000000"/>
            </w:tcBorders>
            <w:vAlign w:val="center"/>
          </w:tcPr>
          <w:p w14:paraId="101FAF93"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2012.</w:t>
            </w:r>
          </w:p>
        </w:tc>
      </w:tr>
      <w:tr w:rsidR="000A4214" w14:paraId="0C11CF53"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4045A6C3"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Правна лица, број</w:t>
            </w:r>
          </w:p>
        </w:tc>
        <w:tc>
          <w:tcPr>
            <w:tcW w:w="1282" w:type="dxa"/>
            <w:tcBorders>
              <w:top w:val="single" w:sz="4" w:space="0" w:color="000000"/>
              <w:left w:val="single" w:sz="4" w:space="0" w:color="000000"/>
              <w:bottom w:val="single" w:sz="4" w:space="0" w:color="000000"/>
              <w:right w:val="single" w:sz="4" w:space="0" w:color="000000"/>
            </w:tcBorders>
            <w:vAlign w:val="center"/>
          </w:tcPr>
          <w:p w14:paraId="4B1B69A2"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1.933</w:t>
            </w:r>
          </w:p>
        </w:tc>
        <w:tc>
          <w:tcPr>
            <w:tcW w:w="1272" w:type="dxa"/>
            <w:tcBorders>
              <w:top w:val="single" w:sz="4" w:space="0" w:color="000000"/>
              <w:left w:val="single" w:sz="4" w:space="0" w:color="000000"/>
              <w:bottom w:val="single" w:sz="4" w:space="0" w:color="000000"/>
              <w:right w:val="single" w:sz="4" w:space="0" w:color="000000"/>
            </w:tcBorders>
            <w:vAlign w:val="center"/>
          </w:tcPr>
          <w:p w14:paraId="75B04576"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1.018</w:t>
            </w:r>
          </w:p>
        </w:tc>
        <w:tc>
          <w:tcPr>
            <w:tcW w:w="1414" w:type="dxa"/>
            <w:tcBorders>
              <w:top w:val="single" w:sz="4" w:space="0" w:color="000000"/>
              <w:left w:val="single" w:sz="4" w:space="0" w:color="000000"/>
              <w:bottom w:val="single" w:sz="4" w:space="0" w:color="000000"/>
              <w:right w:val="single" w:sz="4" w:space="0" w:color="000000"/>
            </w:tcBorders>
            <w:vAlign w:val="center"/>
          </w:tcPr>
          <w:p w14:paraId="0665C95D"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232</w:t>
            </w:r>
          </w:p>
        </w:tc>
        <w:tc>
          <w:tcPr>
            <w:tcW w:w="1172" w:type="dxa"/>
            <w:tcBorders>
              <w:top w:val="single" w:sz="4" w:space="0" w:color="000000"/>
              <w:left w:val="single" w:sz="4" w:space="0" w:color="000000"/>
              <w:bottom w:val="single" w:sz="4" w:space="0" w:color="000000"/>
              <w:right w:val="single" w:sz="4" w:space="0" w:color="000000"/>
            </w:tcBorders>
            <w:vAlign w:val="center"/>
          </w:tcPr>
          <w:p w14:paraId="09EAB44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24</w:t>
            </w:r>
          </w:p>
        </w:tc>
      </w:tr>
      <w:tr w:rsidR="000A4214" w14:paraId="5A68BBAC"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224B4EFD"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Учешће правних лица у укупном броју ПГ (%)</w:t>
            </w:r>
          </w:p>
        </w:tc>
        <w:tc>
          <w:tcPr>
            <w:tcW w:w="1282" w:type="dxa"/>
            <w:tcBorders>
              <w:top w:val="single" w:sz="4" w:space="0" w:color="000000"/>
              <w:left w:val="single" w:sz="4" w:space="0" w:color="000000"/>
              <w:bottom w:val="single" w:sz="4" w:space="0" w:color="000000"/>
              <w:right w:val="single" w:sz="4" w:space="0" w:color="000000"/>
            </w:tcBorders>
            <w:vAlign w:val="center"/>
          </w:tcPr>
          <w:p w14:paraId="3E21FD5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0.3</w:t>
            </w:r>
          </w:p>
        </w:tc>
        <w:tc>
          <w:tcPr>
            <w:tcW w:w="1272" w:type="dxa"/>
            <w:tcBorders>
              <w:top w:val="single" w:sz="4" w:space="0" w:color="000000"/>
              <w:left w:val="single" w:sz="4" w:space="0" w:color="000000"/>
              <w:bottom w:val="single" w:sz="4" w:space="0" w:color="000000"/>
              <w:right w:val="single" w:sz="4" w:space="0" w:color="000000"/>
            </w:tcBorders>
            <w:vAlign w:val="center"/>
          </w:tcPr>
          <w:p w14:paraId="39013D7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0.7</w:t>
            </w:r>
          </w:p>
        </w:tc>
        <w:tc>
          <w:tcPr>
            <w:tcW w:w="1414" w:type="dxa"/>
            <w:tcBorders>
              <w:top w:val="single" w:sz="4" w:space="0" w:color="000000"/>
              <w:left w:val="single" w:sz="4" w:space="0" w:color="000000"/>
              <w:bottom w:val="single" w:sz="4" w:space="0" w:color="000000"/>
              <w:right w:val="single" w:sz="4" w:space="0" w:color="000000"/>
            </w:tcBorders>
            <w:vAlign w:val="center"/>
          </w:tcPr>
          <w:p w14:paraId="7F9EC00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0,8</w:t>
            </w:r>
          </w:p>
        </w:tc>
        <w:tc>
          <w:tcPr>
            <w:tcW w:w="1172" w:type="dxa"/>
            <w:tcBorders>
              <w:top w:val="single" w:sz="4" w:space="0" w:color="000000"/>
              <w:left w:val="single" w:sz="4" w:space="0" w:color="000000"/>
              <w:bottom w:val="single" w:sz="4" w:space="0" w:color="000000"/>
              <w:right w:val="single" w:sz="4" w:space="0" w:color="000000"/>
            </w:tcBorders>
            <w:vAlign w:val="center"/>
          </w:tcPr>
          <w:p w14:paraId="083AFF8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0,8</w:t>
            </w:r>
          </w:p>
        </w:tc>
      </w:tr>
      <w:tr w:rsidR="000A4214" w14:paraId="3673256F"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7EF49E15"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КПЗ правних лица, у ха</w:t>
            </w:r>
          </w:p>
        </w:tc>
        <w:tc>
          <w:tcPr>
            <w:tcW w:w="1282" w:type="dxa"/>
            <w:tcBorders>
              <w:top w:val="single" w:sz="4" w:space="0" w:color="000000"/>
              <w:left w:val="single" w:sz="4" w:space="0" w:color="000000"/>
              <w:bottom w:val="single" w:sz="4" w:space="0" w:color="000000"/>
              <w:right w:val="single" w:sz="4" w:space="0" w:color="000000"/>
            </w:tcBorders>
            <w:vAlign w:val="center"/>
          </w:tcPr>
          <w:p w14:paraId="09617B5A"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606.574</w:t>
            </w:r>
          </w:p>
        </w:tc>
        <w:tc>
          <w:tcPr>
            <w:tcW w:w="1272" w:type="dxa"/>
            <w:tcBorders>
              <w:top w:val="single" w:sz="4" w:space="0" w:color="000000"/>
              <w:left w:val="single" w:sz="4" w:space="0" w:color="000000"/>
              <w:bottom w:val="single" w:sz="4" w:space="0" w:color="000000"/>
              <w:right w:val="single" w:sz="4" w:space="0" w:color="000000"/>
            </w:tcBorders>
            <w:vAlign w:val="center"/>
          </w:tcPr>
          <w:p w14:paraId="7BC5D893"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426.461 </w:t>
            </w:r>
          </w:p>
        </w:tc>
        <w:tc>
          <w:tcPr>
            <w:tcW w:w="1414" w:type="dxa"/>
            <w:tcBorders>
              <w:top w:val="single" w:sz="4" w:space="0" w:color="000000"/>
              <w:left w:val="single" w:sz="4" w:space="0" w:color="000000"/>
              <w:bottom w:val="single" w:sz="4" w:space="0" w:color="000000"/>
              <w:right w:val="single" w:sz="4" w:space="0" w:color="000000"/>
            </w:tcBorders>
            <w:vAlign w:val="center"/>
          </w:tcPr>
          <w:p w14:paraId="7012780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66.374</w:t>
            </w:r>
          </w:p>
        </w:tc>
        <w:tc>
          <w:tcPr>
            <w:tcW w:w="1172" w:type="dxa"/>
            <w:tcBorders>
              <w:top w:val="single" w:sz="4" w:space="0" w:color="000000"/>
              <w:left w:val="single" w:sz="4" w:space="0" w:color="000000"/>
              <w:bottom w:val="single" w:sz="4" w:space="0" w:color="000000"/>
              <w:right w:val="single" w:sz="4" w:space="0" w:color="000000"/>
            </w:tcBorders>
            <w:vAlign w:val="center"/>
          </w:tcPr>
          <w:p w14:paraId="0F93DC32"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10.448</w:t>
            </w:r>
          </w:p>
        </w:tc>
      </w:tr>
      <w:tr w:rsidR="000A4214" w14:paraId="1F148D9B"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7A6FE0CC"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Учешће КПЗ правних лица у укупном КПЗ (%)</w:t>
            </w:r>
          </w:p>
        </w:tc>
        <w:tc>
          <w:tcPr>
            <w:tcW w:w="1282" w:type="dxa"/>
            <w:tcBorders>
              <w:top w:val="single" w:sz="4" w:space="0" w:color="000000"/>
              <w:left w:val="single" w:sz="4" w:space="0" w:color="000000"/>
              <w:bottom w:val="single" w:sz="4" w:space="0" w:color="000000"/>
              <w:right w:val="single" w:sz="4" w:space="0" w:color="000000"/>
            </w:tcBorders>
            <w:vAlign w:val="center"/>
          </w:tcPr>
          <w:p w14:paraId="310FEB45"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17,6</w:t>
            </w:r>
          </w:p>
        </w:tc>
        <w:tc>
          <w:tcPr>
            <w:tcW w:w="1272" w:type="dxa"/>
            <w:tcBorders>
              <w:top w:val="single" w:sz="4" w:space="0" w:color="000000"/>
              <w:left w:val="single" w:sz="4" w:space="0" w:color="000000"/>
              <w:bottom w:val="single" w:sz="4" w:space="0" w:color="000000"/>
              <w:right w:val="single" w:sz="4" w:space="0" w:color="000000"/>
            </w:tcBorders>
            <w:vAlign w:val="center"/>
          </w:tcPr>
          <w:p w14:paraId="4AC184F7"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26,5</w:t>
            </w:r>
          </w:p>
        </w:tc>
        <w:tc>
          <w:tcPr>
            <w:tcW w:w="1414" w:type="dxa"/>
            <w:tcBorders>
              <w:top w:val="single" w:sz="4" w:space="0" w:color="000000"/>
              <w:left w:val="single" w:sz="4" w:space="0" w:color="000000"/>
              <w:bottom w:val="single" w:sz="4" w:space="0" w:color="000000"/>
              <w:right w:val="single" w:sz="4" w:space="0" w:color="000000"/>
            </w:tcBorders>
            <w:vAlign w:val="center"/>
          </w:tcPr>
          <w:p w14:paraId="7D16DBD5"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23,1</w:t>
            </w:r>
          </w:p>
        </w:tc>
        <w:tc>
          <w:tcPr>
            <w:tcW w:w="1172" w:type="dxa"/>
            <w:tcBorders>
              <w:top w:val="single" w:sz="4" w:space="0" w:color="000000"/>
              <w:left w:val="single" w:sz="4" w:space="0" w:color="000000"/>
              <w:bottom w:val="single" w:sz="4" w:space="0" w:color="000000"/>
              <w:right w:val="single" w:sz="4" w:space="0" w:color="000000"/>
            </w:tcBorders>
            <w:vAlign w:val="center"/>
          </w:tcPr>
          <w:p w14:paraId="70FC6DFE"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36,0%</w:t>
            </w:r>
          </w:p>
        </w:tc>
      </w:tr>
      <w:tr w:rsidR="000A4214" w14:paraId="20EBB999"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72892F2C" w14:textId="77777777" w:rsidR="000A4214" w:rsidRDefault="000A4214">
            <w:pPr>
              <w:widowControl w:val="0"/>
              <w:jc w:val="both"/>
              <w:rPr>
                <w:rFonts w:ascii="Times New Roman" w:eastAsia="Times New Roman" w:hAnsi="Times New Roman" w:cs="Times New Roman"/>
              </w:rPr>
            </w:pPr>
          </w:p>
        </w:tc>
        <w:tc>
          <w:tcPr>
            <w:tcW w:w="5140" w:type="dxa"/>
            <w:gridSpan w:val="4"/>
            <w:tcBorders>
              <w:top w:val="single" w:sz="4" w:space="0" w:color="000000"/>
              <w:left w:val="single" w:sz="4" w:space="0" w:color="000000"/>
              <w:bottom w:val="single" w:sz="4" w:space="0" w:color="000000"/>
              <w:right w:val="single" w:sz="4" w:space="0" w:color="000000"/>
            </w:tcBorders>
            <w:vAlign w:val="center"/>
          </w:tcPr>
          <w:p w14:paraId="13E3B036"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2018.</w:t>
            </w:r>
          </w:p>
        </w:tc>
      </w:tr>
      <w:tr w:rsidR="000A4214" w14:paraId="20B4CA81"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0E3BDBFB"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Правна лица, број</w:t>
            </w:r>
          </w:p>
        </w:tc>
        <w:tc>
          <w:tcPr>
            <w:tcW w:w="1282" w:type="dxa"/>
            <w:tcBorders>
              <w:top w:val="single" w:sz="4" w:space="0" w:color="000000"/>
              <w:left w:val="single" w:sz="4" w:space="0" w:color="000000"/>
              <w:bottom w:val="single" w:sz="4" w:space="0" w:color="000000"/>
              <w:right w:val="single" w:sz="4" w:space="0" w:color="000000"/>
            </w:tcBorders>
            <w:vAlign w:val="center"/>
          </w:tcPr>
          <w:p w14:paraId="2972E4E8"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1.373</w:t>
            </w:r>
          </w:p>
        </w:tc>
        <w:tc>
          <w:tcPr>
            <w:tcW w:w="1272" w:type="dxa"/>
            <w:tcBorders>
              <w:top w:val="single" w:sz="4" w:space="0" w:color="000000"/>
              <w:left w:val="single" w:sz="4" w:space="0" w:color="000000"/>
              <w:bottom w:val="single" w:sz="4" w:space="0" w:color="000000"/>
              <w:right w:val="single" w:sz="4" w:space="0" w:color="000000"/>
            </w:tcBorders>
            <w:vAlign w:val="center"/>
          </w:tcPr>
          <w:p w14:paraId="37C45F04"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778</w:t>
            </w:r>
          </w:p>
        </w:tc>
        <w:tc>
          <w:tcPr>
            <w:tcW w:w="1414" w:type="dxa"/>
            <w:tcBorders>
              <w:top w:val="single" w:sz="4" w:space="0" w:color="000000"/>
              <w:left w:val="single" w:sz="4" w:space="0" w:color="000000"/>
              <w:bottom w:val="single" w:sz="4" w:space="0" w:color="000000"/>
              <w:right w:val="single" w:sz="4" w:space="0" w:color="000000"/>
            </w:tcBorders>
            <w:vAlign w:val="center"/>
          </w:tcPr>
          <w:p w14:paraId="037DE1E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151</w:t>
            </w:r>
          </w:p>
        </w:tc>
        <w:tc>
          <w:tcPr>
            <w:tcW w:w="1172" w:type="dxa"/>
            <w:tcBorders>
              <w:top w:val="single" w:sz="4" w:space="0" w:color="000000"/>
              <w:left w:val="single" w:sz="4" w:space="0" w:color="000000"/>
              <w:bottom w:val="single" w:sz="4" w:space="0" w:color="000000"/>
              <w:right w:val="single" w:sz="4" w:space="0" w:color="000000"/>
            </w:tcBorders>
            <w:vAlign w:val="center"/>
          </w:tcPr>
          <w:p w14:paraId="0F50901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14</w:t>
            </w:r>
          </w:p>
        </w:tc>
      </w:tr>
      <w:tr w:rsidR="000A4214" w14:paraId="3A70C895"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52C96BE9"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Учешће правних лица у укупном броју ПГ (%)</w:t>
            </w:r>
          </w:p>
        </w:tc>
        <w:tc>
          <w:tcPr>
            <w:tcW w:w="1282" w:type="dxa"/>
            <w:tcBorders>
              <w:top w:val="single" w:sz="4" w:space="0" w:color="000000"/>
              <w:left w:val="single" w:sz="4" w:space="0" w:color="000000"/>
              <w:bottom w:val="single" w:sz="4" w:space="0" w:color="000000"/>
              <w:right w:val="single" w:sz="4" w:space="0" w:color="000000"/>
            </w:tcBorders>
            <w:vAlign w:val="center"/>
          </w:tcPr>
          <w:p w14:paraId="143DBA91"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0,2</w:t>
            </w:r>
          </w:p>
        </w:tc>
        <w:tc>
          <w:tcPr>
            <w:tcW w:w="1272" w:type="dxa"/>
            <w:tcBorders>
              <w:top w:val="single" w:sz="4" w:space="0" w:color="000000"/>
              <w:left w:val="single" w:sz="4" w:space="0" w:color="000000"/>
              <w:bottom w:val="single" w:sz="4" w:space="0" w:color="000000"/>
              <w:right w:val="single" w:sz="4" w:space="0" w:color="000000"/>
            </w:tcBorders>
            <w:vAlign w:val="center"/>
          </w:tcPr>
          <w:p w14:paraId="1F2AF5E4"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0,6</w:t>
            </w:r>
          </w:p>
        </w:tc>
        <w:tc>
          <w:tcPr>
            <w:tcW w:w="1414" w:type="dxa"/>
            <w:tcBorders>
              <w:top w:val="single" w:sz="4" w:space="0" w:color="000000"/>
              <w:left w:val="single" w:sz="4" w:space="0" w:color="000000"/>
              <w:bottom w:val="single" w:sz="4" w:space="0" w:color="000000"/>
              <w:right w:val="single" w:sz="4" w:space="0" w:color="000000"/>
            </w:tcBorders>
            <w:vAlign w:val="center"/>
          </w:tcPr>
          <w:p w14:paraId="4E27DB8F"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0,6</w:t>
            </w:r>
          </w:p>
        </w:tc>
        <w:tc>
          <w:tcPr>
            <w:tcW w:w="1172" w:type="dxa"/>
            <w:tcBorders>
              <w:top w:val="single" w:sz="4" w:space="0" w:color="000000"/>
              <w:left w:val="single" w:sz="4" w:space="0" w:color="000000"/>
              <w:bottom w:val="single" w:sz="4" w:space="0" w:color="000000"/>
              <w:right w:val="single" w:sz="4" w:space="0" w:color="000000"/>
            </w:tcBorders>
            <w:vAlign w:val="center"/>
          </w:tcPr>
          <w:p w14:paraId="6A1ECB7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0,5</w:t>
            </w:r>
          </w:p>
        </w:tc>
      </w:tr>
      <w:tr w:rsidR="000A4214" w14:paraId="0B840276"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13CBDDFD"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КПЗ правних лица, у ха</w:t>
            </w:r>
          </w:p>
        </w:tc>
        <w:tc>
          <w:tcPr>
            <w:tcW w:w="1282" w:type="dxa"/>
            <w:tcBorders>
              <w:top w:val="single" w:sz="4" w:space="0" w:color="000000"/>
              <w:left w:val="single" w:sz="4" w:space="0" w:color="000000"/>
              <w:bottom w:val="single" w:sz="4" w:space="0" w:color="000000"/>
              <w:right w:val="single" w:sz="4" w:space="0" w:color="000000"/>
            </w:tcBorders>
            <w:vAlign w:val="center"/>
          </w:tcPr>
          <w:p w14:paraId="0F0FEEEE"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557.866</w:t>
            </w:r>
          </w:p>
        </w:tc>
        <w:tc>
          <w:tcPr>
            <w:tcW w:w="1272" w:type="dxa"/>
            <w:tcBorders>
              <w:top w:val="single" w:sz="4" w:space="0" w:color="000000"/>
              <w:left w:val="single" w:sz="4" w:space="0" w:color="000000"/>
              <w:bottom w:val="single" w:sz="4" w:space="0" w:color="000000"/>
              <w:right w:val="single" w:sz="4" w:space="0" w:color="000000"/>
            </w:tcBorders>
            <w:vAlign w:val="center"/>
          </w:tcPr>
          <w:p w14:paraId="714DE6E4"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404.756</w:t>
            </w:r>
          </w:p>
        </w:tc>
        <w:tc>
          <w:tcPr>
            <w:tcW w:w="1414" w:type="dxa"/>
            <w:tcBorders>
              <w:top w:val="single" w:sz="4" w:space="0" w:color="000000"/>
              <w:left w:val="single" w:sz="4" w:space="0" w:color="000000"/>
              <w:bottom w:val="single" w:sz="4" w:space="0" w:color="000000"/>
              <w:right w:val="single" w:sz="4" w:space="0" w:color="000000"/>
            </w:tcBorders>
            <w:vAlign w:val="center"/>
          </w:tcPr>
          <w:p w14:paraId="549FAF24" w14:textId="77777777" w:rsidR="000A4214" w:rsidRDefault="00111391">
            <w:pPr>
              <w:widowControl w:val="0"/>
              <w:jc w:val="right"/>
              <w:rPr>
                <w:rFonts w:ascii="Times New Roman" w:eastAsia="Times New Roman" w:hAnsi="Times New Roman" w:cs="Times New Roman"/>
                <w:color w:val="000000"/>
              </w:rPr>
            </w:pPr>
            <w:r>
              <w:rPr>
                <w:rFonts w:ascii="Times New Roman" w:eastAsia="Times New Roman" w:hAnsi="Times New Roman" w:cs="Times New Roman"/>
                <w:color w:val="000000"/>
              </w:rPr>
              <w:t>64.228</w:t>
            </w:r>
          </w:p>
        </w:tc>
        <w:tc>
          <w:tcPr>
            <w:tcW w:w="1172" w:type="dxa"/>
            <w:tcBorders>
              <w:top w:val="single" w:sz="4" w:space="0" w:color="000000"/>
              <w:left w:val="single" w:sz="4" w:space="0" w:color="000000"/>
              <w:bottom w:val="single" w:sz="4" w:space="0" w:color="000000"/>
              <w:right w:val="single" w:sz="4" w:space="0" w:color="000000"/>
            </w:tcBorders>
            <w:vAlign w:val="center"/>
          </w:tcPr>
          <w:p w14:paraId="0D0ECABA"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12.587</w:t>
            </w:r>
          </w:p>
        </w:tc>
      </w:tr>
      <w:tr w:rsidR="000A4214" w14:paraId="5FD75BD3" w14:textId="77777777">
        <w:trPr>
          <w:jc w:val="center"/>
        </w:trPr>
        <w:tc>
          <w:tcPr>
            <w:tcW w:w="3901" w:type="dxa"/>
            <w:tcBorders>
              <w:top w:val="single" w:sz="4" w:space="0" w:color="000000"/>
              <w:left w:val="single" w:sz="4" w:space="0" w:color="000000"/>
              <w:bottom w:val="single" w:sz="4" w:space="0" w:color="000000"/>
              <w:right w:val="single" w:sz="4" w:space="0" w:color="000000"/>
            </w:tcBorders>
          </w:tcPr>
          <w:p w14:paraId="625F27E1" w14:textId="77777777" w:rsidR="000A4214" w:rsidRDefault="00111391">
            <w:pPr>
              <w:widowControl w:val="0"/>
              <w:jc w:val="both"/>
              <w:rPr>
                <w:rFonts w:ascii="Times New Roman" w:eastAsia="Times New Roman" w:hAnsi="Times New Roman" w:cs="Times New Roman"/>
              </w:rPr>
            </w:pPr>
            <w:r>
              <w:rPr>
                <w:rFonts w:ascii="Times New Roman" w:eastAsia="Times New Roman" w:hAnsi="Times New Roman" w:cs="Times New Roman"/>
              </w:rPr>
              <w:t>Учешће КПЗ правних лица у укупном КПЗ (%)</w:t>
            </w:r>
          </w:p>
        </w:tc>
        <w:tc>
          <w:tcPr>
            <w:tcW w:w="1282" w:type="dxa"/>
            <w:tcBorders>
              <w:top w:val="single" w:sz="4" w:space="0" w:color="000000"/>
              <w:left w:val="single" w:sz="4" w:space="0" w:color="000000"/>
              <w:bottom w:val="single" w:sz="4" w:space="0" w:color="000000"/>
              <w:right w:val="single" w:sz="4" w:space="0" w:color="000000"/>
            </w:tcBorders>
            <w:vAlign w:val="center"/>
          </w:tcPr>
          <w:p w14:paraId="7789D9B9"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16,0</w:t>
            </w:r>
          </w:p>
        </w:tc>
        <w:tc>
          <w:tcPr>
            <w:tcW w:w="1272" w:type="dxa"/>
            <w:tcBorders>
              <w:top w:val="single" w:sz="4" w:space="0" w:color="000000"/>
              <w:left w:val="single" w:sz="4" w:space="0" w:color="000000"/>
              <w:bottom w:val="single" w:sz="4" w:space="0" w:color="000000"/>
              <w:right w:val="single" w:sz="4" w:space="0" w:color="000000"/>
            </w:tcBorders>
            <w:vAlign w:val="center"/>
          </w:tcPr>
          <w:p w14:paraId="7E72792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25,7</w:t>
            </w:r>
          </w:p>
        </w:tc>
        <w:tc>
          <w:tcPr>
            <w:tcW w:w="1414" w:type="dxa"/>
            <w:tcBorders>
              <w:top w:val="single" w:sz="4" w:space="0" w:color="000000"/>
              <w:left w:val="single" w:sz="4" w:space="0" w:color="000000"/>
              <w:bottom w:val="single" w:sz="4" w:space="0" w:color="000000"/>
              <w:right w:val="single" w:sz="4" w:space="0" w:color="000000"/>
            </w:tcBorders>
            <w:vAlign w:val="center"/>
          </w:tcPr>
          <w:p w14:paraId="089DC8A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23,5</w:t>
            </w:r>
          </w:p>
        </w:tc>
        <w:tc>
          <w:tcPr>
            <w:tcW w:w="1172" w:type="dxa"/>
            <w:tcBorders>
              <w:top w:val="single" w:sz="4" w:space="0" w:color="000000"/>
              <w:left w:val="single" w:sz="4" w:space="0" w:color="000000"/>
              <w:bottom w:val="single" w:sz="4" w:space="0" w:color="000000"/>
              <w:right w:val="single" w:sz="4" w:space="0" w:color="000000"/>
            </w:tcBorders>
            <w:vAlign w:val="center"/>
          </w:tcPr>
          <w:p w14:paraId="28264950" w14:textId="77777777" w:rsidR="000A4214" w:rsidRDefault="00111391">
            <w:pPr>
              <w:widowControl w:val="0"/>
              <w:jc w:val="right"/>
              <w:rPr>
                <w:rFonts w:ascii="Times New Roman" w:eastAsia="Times New Roman" w:hAnsi="Times New Roman" w:cs="Times New Roman"/>
              </w:rPr>
            </w:pPr>
            <w:r>
              <w:rPr>
                <w:rFonts w:ascii="Times New Roman" w:eastAsia="Times New Roman" w:hAnsi="Times New Roman" w:cs="Times New Roman"/>
              </w:rPr>
              <w:t>42,3</w:t>
            </w:r>
          </w:p>
        </w:tc>
      </w:tr>
    </w:tbl>
    <w:p w14:paraId="63EA9EB8" w14:textId="77777777" w:rsidR="000A4214" w:rsidRDefault="00111391">
      <w:pPr>
        <w:spacing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Извор: </w:t>
      </w:r>
      <w:r>
        <w:rPr>
          <w:rFonts w:ascii="Times New Roman" w:eastAsia="Times New Roman" w:hAnsi="Times New Roman" w:cs="Times New Roman"/>
          <w:i/>
          <w:iCs/>
          <w:sz w:val="20"/>
          <w:szCs w:val="20"/>
        </w:rPr>
        <w:t>Попис пољопривреде 2012</w:t>
      </w:r>
      <w:r>
        <w:rPr>
          <w:rFonts w:ascii="Times New Roman" w:eastAsia="Times New Roman" w:hAnsi="Times New Roman" w:cs="Times New Roman"/>
          <w:sz w:val="20"/>
          <w:szCs w:val="20"/>
        </w:rPr>
        <w:t xml:space="preserve">. и </w:t>
      </w:r>
      <w:r>
        <w:rPr>
          <w:rFonts w:ascii="Times New Roman" w:eastAsia="Times New Roman" w:hAnsi="Times New Roman" w:cs="Times New Roman"/>
          <w:i/>
          <w:iCs/>
          <w:sz w:val="20"/>
          <w:szCs w:val="20"/>
        </w:rPr>
        <w:t>Анкета о структури пољопривредних газдинстава 2018</w:t>
      </w:r>
      <w:r>
        <w:rPr>
          <w:rFonts w:ascii="Times New Roman" w:eastAsia="Times New Roman" w:hAnsi="Times New Roman" w:cs="Times New Roman"/>
          <w:sz w:val="20"/>
          <w:szCs w:val="20"/>
        </w:rPr>
        <w:t>, РЗС, база података, https://data.stat.gov.rs/</w:t>
      </w:r>
    </w:p>
    <w:p w14:paraId="3AD7D65B" w14:textId="77777777" w:rsidR="000A4214" w:rsidRDefault="00111391">
      <w:pPr>
        <w:spacing w:before="24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 односу на податке </w:t>
      </w:r>
      <w:r>
        <w:rPr>
          <w:rFonts w:ascii="Times New Roman" w:eastAsia="Times New Roman" w:hAnsi="Times New Roman" w:cs="Times New Roman"/>
          <w:i/>
          <w:iCs/>
          <w:sz w:val="24"/>
          <w:szCs w:val="24"/>
        </w:rPr>
        <w:t>Пописа пољопривреде</w:t>
      </w:r>
      <w:r>
        <w:rPr>
          <w:rFonts w:ascii="Times New Roman" w:eastAsia="Times New Roman" w:hAnsi="Times New Roman" w:cs="Times New Roman"/>
          <w:sz w:val="24"/>
          <w:szCs w:val="24"/>
        </w:rPr>
        <w:t xml:space="preserve"> из 2012. године, број пољопривредних газдинстава у статусу правног лица у општини Врбас у 2018. години је смањен, док је истовремено повећана просечна површина коришћеног пољопривредног земљишта којима располажу ови субјекти (са 435 ха на 899 ха), што указује на укрупњавање поседа правних лица.</w:t>
      </w:r>
    </w:p>
    <w:p w14:paraId="05472EEA" w14:textId="77777777" w:rsidR="000A4214" w:rsidRDefault="00111391">
      <w:pPr>
        <w:spacing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3.3. Предузетници</w:t>
      </w:r>
    </w:p>
    <w:p w14:paraId="16DF6FEC" w14:textId="77777777" w:rsidR="000A4214" w:rsidRDefault="0011139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Према подацима Агенције за привредне регистре, број предузетника у активном статусу регистрованих у општини Врбасу области 01 (Пољопривреда, лов и одговарајуће услужне активности) у 2021. години износи 12, што је за 8 предузетника више у односу на 2017. годину. Истовремено, у 2021. години свега 1 предузетник уписан јеу РПГ </w:t>
      </w:r>
      <w:r>
        <w:rPr>
          <w:rFonts w:ascii="Times New Roman" w:eastAsia="Times New Roman" w:hAnsi="Times New Roman" w:cs="Times New Roman"/>
          <w:sz w:val="20"/>
          <w:szCs w:val="20"/>
        </w:rPr>
        <w:t>(</w:t>
      </w:r>
      <w:r>
        <w:rPr>
          <w:rFonts w:ascii="Times New Roman" w:eastAsia="Times New Roman" w:hAnsi="Times New Roman" w:cs="Times New Roman"/>
          <w:sz w:val="24"/>
          <w:szCs w:val="24"/>
        </w:rPr>
        <w:t>Управа за аграрна плаћања, Портал отворених података). Овако мали број предузетника уписаних у РПГ у складу је и са вишим територијалним нивоима поређења, а објашњава се, како чињеницом да се мали број предузетника бави пољопривредном производњом, тако и чињеницом да се произвођачи који се баве пољопривредом доминантно региструју као породична пољопривредна газдинства, као и да упис у РПГ није обавезан.</w:t>
      </w:r>
    </w:p>
    <w:p w14:paraId="14D56AF5"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 Удружења пољопривредних произвођача</w:t>
      </w:r>
    </w:p>
    <w:p w14:paraId="5A74F1A6" w14:textId="77777777" w:rsidR="000A4214" w:rsidRDefault="00111391">
      <w:pPr>
        <w:shd w:val="clear" w:color="auto" w:fill="FFFFFF"/>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Према подацима Агенције за привредне регистре Републике Србије у општини Врбас у 2021. години регистрована су следећа удружења у сектору пољопривреде:</w:t>
      </w:r>
    </w:p>
    <w:p w14:paraId="5367536E" w14:textId="77777777" w:rsidR="000A4214" w:rsidRDefault="00111391">
      <w:pPr>
        <w:numPr>
          <w:ilvl w:val="0"/>
          <w:numId w:val="1"/>
        </w:numPr>
        <w:shd w:val="clear" w:color="auto" w:fill="FFFFFF"/>
        <w:spacing w:before="60" w:after="6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Удружење пољопривредника општине Врбас;</w:t>
      </w:r>
    </w:p>
    <w:p w14:paraId="3DF892E7" w14:textId="77777777" w:rsidR="000A4214" w:rsidRDefault="00111391">
      <w:pPr>
        <w:numPr>
          <w:ilvl w:val="0"/>
          <w:numId w:val="1"/>
        </w:numPr>
        <w:shd w:val="clear" w:color="auto" w:fill="FFFFFF"/>
        <w:spacing w:before="60" w:after="6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Удружење одгајивача оваца и коза „Бикара</w:t>
      </w:r>
      <w:r>
        <w:rPr>
          <w:rFonts w:ascii="Liberation Serif" w:eastAsia="Liberation Serif" w:hAnsi="Liberation Serif" w:cs="Liberation Serif"/>
          <w:color w:val="000000"/>
          <w:sz w:val="24"/>
          <w:szCs w:val="24"/>
        </w:rPr>
        <w:t>”</w:t>
      </w:r>
      <w:r>
        <w:rPr>
          <w:rFonts w:ascii="Times New Roman" w:eastAsia="Times New Roman" w:hAnsi="Times New Roman" w:cs="Times New Roman"/>
          <w:color w:val="000000"/>
          <w:sz w:val="24"/>
          <w:szCs w:val="24"/>
        </w:rPr>
        <w:t>;</w:t>
      </w:r>
    </w:p>
    <w:p w14:paraId="04288FFF" w14:textId="77777777" w:rsidR="000A4214" w:rsidRDefault="00111391">
      <w:pPr>
        <w:numPr>
          <w:ilvl w:val="0"/>
          <w:numId w:val="1"/>
        </w:numPr>
        <w:shd w:val="clear" w:color="auto" w:fill="FFFFFF"/>
        <w:spacing w:before="60" w:after="6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Удружење одгајивача свиња „СУС</w:t>
      </w:r>
      <w:r>
        <w:rPr>
          <w:rFonts w:ascii="Liberation Serif" w:eastAsia="Liberation Serif" w:hAnsi="Liberation Serif" w:cs="Liberation Serif"/>
          <w:color w:val="000000"/>
          <w:sz w:val="24"/>
          <w:szCs w:val="24"/>
        </w:rPr>
        <w:t>”</w:t>
      </w:r>
      <w:r>
        <w:rPr>
          <w:rFonts w:ascii="Times New Roman" w:eastAsia="Times New Roman" w:hAnsi="Times New Roman" w:cs="Times New Roman"/>
          <w:color w:val="000000"/>
          <w:sz w:val="24"/>
          <w:szCs w:val="24"/>
        </w:rPr>
        <w:t xml:space="preserve"> Врбас;</w:t>
      </w:r>
    </w:p>
    <w:p w14:paraId="2328E894" w14:textId="77777777" w:rsidR="000A4214" w:rsidRDefault="00111391">
      <w:pPr>
        <w:numPr>
          <w:ilvl w:val="0"/>
          <w:numId w:val="1"/>
        </w:numPr>
        <w:shd w:val="clear" w:color="auto" w:fill="FFFFFF"/>
        <w:spacing w:before="60" w:after="6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Удружење пчелара, Врбас;</w:t>
      </w:r>
    </w:p>
    <w:p w14:paraId="736F3F6B" w14:textId="77777777" w:rsidR="000A4214" w:rsidRDefault="00111391">
      <w:pPr>
        <w:numPr>
          <w:ilvl w:val="0"/>
          <w:numId w:val="1"/>
        </w:numPr>
        <w:shd w:val="clear" w:color="auto" w:fill="FFFFFF"/>
        <w:spacing w:before="60" w:after="6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Удружење произвођача малине „Бачкопољски малинари</w:t>
      </w:r>
      <w:r>
        <w:rPr>
          <w:rFonts w:ascii="Liberation Serif" w:eastAsia="Liberation Serif" w:hAnsi="Liberation Serif" w:cs="Liberation Serif"/>
          <w:color w:val="000000"/>
          <w:sz w:val="24"/>
          <w:szCs w:val="24"/>
        </w:rPr>
        <w:t>”</w:t>
      </w:r>
      <w:r>
        <w:rPr>
          <w:rFonts w:ascii="Times New Roman" w:eastAsia="Times New Roman" w:hAnsi="Times New Roman" w:cs="Times New Roman"/>
          <w:color w:val="000000"/>
          <w:sz w:val="24"/>
          <w:szCs w:val="24"/>
        </w:rPr>
        <w:t xml:space="preserve"> Бачко Добро Поље;</w:t>
      </w:r>
    </w:p>
    <w:p w14:paraId="0DE0DAEB" w14:textId="77777777" w:rsidR="000A4214" w:rsidRDefault="00111391">
      <w:pPr>
        <w:numPr>
          <w:ilvl w:val="0"/>
          <w:numId w:val="1"/>
        </w:numPr>
        <w:shd w:val="clear" w:color="auto" w:fill="FFFFFF"/>
        <w:spacing w:before="60" w:after="6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Удружење произвођача малине „Бачки малинари</w:t>
      </w:r>
      <w:r>
        <w:rPr>
          <w:rFonts w:ascii="Liberation Serif" w:eastAsia="Liberation Serif" w:hAnsi="Liberation Serif" w:cs="Liberation Serif"/>
          <w:color w:val="000000"/>
          <w:sz w:val="24"/>
          <w:szCs w:val="24"/>
        </w:rPr>
        <w:t>”</w:t>
      </w:r>
      <w:r>
        <w:rPr>
          <w:rFonts w:ascii="Times New Roman" w:eastAsia="Times New Roman" w:hAnsi="Times New Roman" w:cs="Times New Roman"/>
          <w:color w:val="000000"/>
          <w:sz w:val="24"/>
          <w:szCs w:val="24"/>
        </w:rPr>
        <w:t xml:space="preserve"> Куцура;</w:t>
      </w:r>
    </w:p>
    <w:p w14:paraId="063B2458" w14:textId="77777777" w:rsidR="000A4214" w:rsidRDefault="00111391">
      <w:pPr>
        <w:numPr>
          <w:ilvl w:val="0"/>
          <w:numId w:val="1"/>
        </w:numPr>
        <w:shd w:val="clear" w:color="auto" w:fill="FFFFFF"/>
        <w:spacing w:before="60" w:after="120" w:line="240" w:lineRule="auto"/>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Удружење воћара и виноградара „Бачко воће</w:t>
      </w:r>
      <w:r>
        <w:rPr>
          <w:rFonts w:ascii="Liberation Serif" w:eastAsia="Liberation Serif" w:hAnsi="Liberation Serif" w:cs="Liberation Serif"/>
          <w:color w:val="000000"/>
          <w:sz w:val="24"/>
          <w:szCs w:val="24"/>
        </w:rPr>
        <w:t>”</w:t>
      </w:r>
      <w:r>
        <w:rPr>
          <w:rFonts w:ascii="Times New Roman" w:eastAsia="Times New Roman" w:hAnsi="Times New Roman" w:cs="Times New Roman"/>
          <w:color w:val="000000"/>
          <w:sz w:val="24"/>
          <w:szCs w:val="24"/>
        </w:rPr>
        <w:t xml:space="preserve"> Врбас.</w:t>
      </w:r>
    </w:p>
    <w:p w14:paraId="25EDF593" w14:textId="77777777" w:rsidR="000A4214" w:rsidRDefault="00111391">
      <w:pPr>
        <w:shd w:val="clear" w:color="auto" w:fill="FFFFFF"/>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 ових удружења, према подацима Општинске управе (Интервју, Милан Шашић, Општинска управа општине Врбас, 27. 10. 2021), неколико удружења је активно у раду, а то су: Удружење „Бикара</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Удружење пољопривредника општине Врбас; Удружење пчелара и Удружење „Бачкопољски малинари</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w:t>
      </w:r>
    </w:p>
    <w:p w14:paraId="34F2C552"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Основни правци деловања Удружења пољопривредника општине Врбас које је један од оснивача кровног удружења „Асоцијација пољопривредника</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јесте утицај на локалну самоуправу, као и органе власти на нивоу Покрајине и Републике у домену аграрне политике, посебно земљишне политике.</w:t>
      </w:r>
    </w:p>
    <w:p w14:paraId="6088A81D" w14:textId="77777777" w:rsidR="000A4214" w:rsidRDefault="00111391">
      <w:pPr>
        <w:shd w:val="clear" w:color="auto" w:fill="FFFFFF"/>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Удружење „Бикара</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је основано 2004. године у Врбасу од стране одгајивача и љубитеља оваца и коза. Веома је добро организовано и активно. Удружење је основано са следећим примарним циљевима: повећање стада оваца и коза, оплемењивање постојећих раса, повећање производње меса у квалитативном и квантитативном смислу. Удружење окупља 120 чланова, а велики број спада у реномиране одгајиваче приплодног материјала.Удружење је било веома активно у раду, али са неповољном епидемиолошком ситуацијом у земљи, рад удружења је значајно смањен. Тренутно се комуникација између чланица обавља телефоном или мејловима, а удружење углавном има улогу у посредовању између купаца и продаваца, односно пружа подршку чланицама у пласману својих производа (Интервју, Владимир Канкараш, председник удружења „Бикара</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25. 10. 2021).</w:t>
      </w:r>
    </w:p>
    <w:p w14:paraId="75A64BC1"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Удружење пчелара и Удружење малинара „Бачкопољски малинари</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сарађују са Општинском управом и ТО општине Врбас у организацији манифестација, организују предавања, учествују у промоцији сектора и слично.</w:t>
      </w:r>
    </w:p>
    <w:p w14:paraId="07B5288C" w14:textId="77777777" w:rsidR="000A4214" w:rsidRDefault="00111391">
      <w:pPr>
        <w:shd w:val="clear" w:color="auto" w:fill="FFFFFF"/>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Генерално, удружења пољопривредника у општини Врбас нису довољно активна, а неповољна епидемиолошка ситуација у земљи додатно је ограничила активности удружења.</w:t>
      </w:r>
    </w:p>
    <w:p w14:paraId="4BE13908" w14:textId="77777777" w:rsidR="000A4214" w:rsidRDefault="00111391">
      <w:pPr>
        <w:shd w:val="clear" w:color="auto" w:fill="FFFFFF"/>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развој удруживања у сектору пољопривреде подстицајно може деловати постојећа подршка националним мерама за примену Лидер приступа руралном развоју (подршка за формирање локалних акционих група и израду локалних стратегија руралног развоја), као и признавање произвођачких организација, омогућено доношењем Закона о уређењу тржишта пољопривредних производа (</w:t>
      </w:r>
      <w:r>
        <w:rPr>
          <w:rFonts w:ascii="Times New Roman" w:eastAsia="Times New Roman" w:hAnsi="Times New Roman" w:cs="Times New Roman"/>
          <w:i/>
          <w:iCs/>
          <w:sz w:val="24"/>
          <w:szCs w:val="24"/>
        </w:rPr>
        <w:t>Сл. гласник РС</w:t>
      </w:r>
      <w:r>
        <w:rPr>
          <w:rFonts w:ascii="Times New Roman" w:eastAsia="Times New Roman" w:hAnsi="Times New Roman" w:cs="Times New Roman"/>
          <w:sz w:val="24"/>
          <w:szCs w:val="24"/>
        </w:rPr>
        <w:t>, бр. 67/21).</w:t>
      </w:r>
    </w:p>
    <w:p w14:paraId="1A55CE43"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 Пољопривредна механизација и складишни капацитети</w:t>
      </w:r>
    </w:p>
    <w:p w14:paraId="68D69875"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Према </w:t>
      </w:r>
      <w:r>
        <w:rPr>
          <w:rFonts w:ascii="Times New Roman" w:eastAsia="Times New Roman" w:hAnsi="Times New Roman" w:cs="Times New Roman"/>
          <w:i/>
          <w:iCs/>
          <w:sz w:val="24"/>
          <w:szCs w:val="24"/>
        </w:rPr>
        <w:t>Попису пољопривреде 2012. године</w:t>
      </w:r>
      <w:r>
        <w:rPr>
          <w:rFonts w:ascii="Times New Roman" w:eastAsia="Times New Roman" w:hAnsi="Times New Roman" w:cs="Times New Roman"/>
          <w:sz w:val="24"/>
          <w:szCs w:val="24"/>
        </w:rPr>
        <w:t>, на територији општине Врбас забележен је 101 једноосовински трактор у власништву, од којих 91 трактор је старији од 10 година, а 95 коришћених у 2011/12. години. У односу на Јужнобачку област, удео трактора у Врбасу чини 5,78%. Учешће у укупном броју трактора на територији Регион Војводине је 0,95%, а у односу на Републику Србију је 0,06%.</w:t>
      </w:r>
    </w:p>
    <w:p w14:paraId="0BA3C295"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Забележен број двоосовинских трактора у Врбасу у 2012. години је 1.767, од тог броја 87,1% су старији од 10 година. Учешће у односу на Јужнобачкој области је 8,06%, у односу на Регион Војводине је 1,64%, док је у односу на Србију 0,43%.</w:t>
      </w:r>
    </w:p>
    <w:p w14:paraId="246C8E32"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Број комбајна у 2012. години у општини Врбас износи 155, од којих је 138 комбајна старије од 10 година, а 150 су коришћени у 2011/12. години. Учешће комбајна у Јужнобачкој области износи 7,09%, у односу на Регион Војводине је 1,45%, а у односу на Србију у питању је 0,5%.</w:t>
      </w:r>
    </w:p>
    <w:p w14:paraId="7397D340"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 општини Врбас забележен је следећи број </w:t>
      </w:r>
      <w:r>
        <w:rPr>
          <w:rFonts w:ascii="Times New Roman" w:eastAsia="Times New Roman" w:hAnsi="Times New Roman" w:cs="Times New Roman"/>
          <w:i/>
          <w:sz w:val="24"/>
          <w:szCs w:val="24"/>
        </w:rPr>
        <w:t>прикључних машина</w:t>
      </w:r>
      <w:r>
        <w:rPr>
          <w:rFonts w:ascii="Times New Roman" w:eastAsia="Times New Roman" w:hAnsi="Times New Roman" w:cs="Times New Roman"/>
          <w:sz w:val="24"/>
          <w:szCs w:val="24"/>
        </w:rPr>
        <w:t>: 233 берача кукуруза, што чини 7,36% берача на територији Јужнобачке области. У припреми земљишта коришћено је 1.301 плуг, што чини 1,51% од укупног броја плугова на територији Јужнобачког округа. У употреби је било 279 тањирача (5,37% у Јужнобачкој области). Забележено је 526 дрљача, 756 сетвоспремача и 26 ротофреза (са 6,59%, 7,67% и 4,45% у Јужнобачкој области, респективно за све три прикључне машине).</w:t>
      </w:r>
    </w:p>
    <w:p w14:paraId="22903C35"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Затим, забележено је да има 673 растурача стајњака (92,32% удела у броју коришћених растурача на територији Јужнобачке области). У употреби је 52 сејалице и 601 прскалица (0,73% и 6,38% у укупном броју сејалица и прскалица Јужнобачке области, респективно за обе машине). Коришћено је 648 приколица и оне чине 2,96% укупног броја приколица Јужнобачке области. Забележено је 1.562 коришћене косилице и 166 растурача стајњака у 2012. години.</w:t>
      </w:r>
    </w:p>
    <w:p w14:paraId="12627DC5"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608 пољопривредних газдинстава налази се 742 објекта у којима су смештена </w:t>
      </w:r>
      <w:r>
        <w:rPr>
          <w:rFonts w:ascii="Times New Roman" w:eastAsia="Times New Roman" w:hAnsi="Times New Roman" w:cs="Times New Roman"/>
          <w:i/>
          <w:sz w:val="24"/>
          <w:szCs w:val="24"/>
        </w:rPr>
        <w:t>говеда</w:t>
      </w:r>
      <w:r>
        <w:rPr>
          <w:rFonts w:ascii="Times New Roman" w:eastAsia="Times New Roman" w:hAnsi="Times New Roman" w:cs="Times New Roman"/>
          <w:sz w:val="24"/>
          <w:szCs w:val="24"/>
        </w:rPr>
        <w:t xml:space="preserve"> са 11.310 места, од којих је коришћено 53,66% у 2011/12. години. Овај број објеката чини 11,09% од укупног броја који је забележен на територији Јужнобачке области.</w:t>
      </w:r>
    </w:p>
    <w:p w14:paraId="677FB11A"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2.177 пољопривредних газдинстава налази се 4.676 објеката у којима су смештене </w:t>
      </w:r>
      <w:r>
        <w:rPr>
          <w:rFonts w:ascii="Times New Roman" w:eastAsia="Times New Roman" w:hAnsi="Times New Roman" w:cs="Times New Roman"/>
          <w:i/>
          <w:sz w:val="24"/>
          <w:szCs w:val="24"/>
        </w:rPr>
        <w:t>свиње</w:t>
      </w:r>
      <w:r>
        <w:rPr>
          <w:rFonts w:ascii="Times New Roman" w:eastAsia="Times New Roman" w:hAnsi="Times New Roman" w:cs="Times New Roman"/>
          <w:sz w:val="24"/>
          <w:szCs w:val="24"/>
        </w:rPr>
        <w:t>, који поседују капацитет од 85.019 места, од којих је у 2011/12. години коришћено 52,95%. Од укупног броја у Јужнобачкој области, на територији Врбаса смештено је 12,28% смештајних капацитета.</w:t>
      </w:r>
    </w:p>
    <w:p w14:paraId="28BA17AD"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Забележено је 1.464 пољопривредних газдинстава са 1.609 објеката за смештај </w:t>
      </w:r>
      <w:r>
        <w:rPr>
          <w:rFonts w:ascii="Times New Roman" w:eastAsia="Times New Roman" w:hAnsi="Times New Roman" w:cs="Times New Roman"/>
          <w:i/>
          <w:sz w:val="24"/>
          <w:szCs w:val="24"/>
        </w:rPr>
        <w:t>кокошака носиља</w:t>
      </w:r>
      <w:r>
        <w:rPr>
          <w:rFonts w:ascii="Times New Roman" w:eastAsia="Times New Roman" w:hAnsi="Times New Roman" w:cs="Times New Roman"/>
          <w:sz w:val="24"/>
          <w:szCs w:val="24"/>
        </w:rPr>
        <w:t xml:space="preserve">, са капацитетом од 380.578 места, са 319.954 места коришћених у 2011/12. години. Када су у питању објекти за смештај </w:t>
      </w:r>
      <w:r>
        <w:rPr>
          <w:rFonts w:ascii="Times New Roman" w:eastAsia="Times New Roman" w:hAnsi="Times New Roman" w:cs="Times New Roman"/>
          <w:i/>
          <w:sz w:val="24"/>
          <w:szCs w:val="24"/>
        </w:rPr>
        <w:t>остале стоке</w:t>
      </w:r>
      <w:r>
        <w:rPr>
          <w:rFonts w:ascii="Times New Roman" w:eastAsia="Times New Roman" w:hAnsi="Times New Roman" w:cs="Times New Roman"/>
          <w:sz w:val="24"/>
          <w:szCs w:val="24"/>
        </w:rPr>
        <w:t>, забележено је 617 објеката на 538 пољопривредних газдинстава. Укупан капацитет износио је 18.038 места, од којих је коришћено 14.130 у 2011/12. години.</w:t>
      </w:r>
    </w:p>
    <w:p w14:paraId="062B0A8A"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територији општине Врбас у 2012. години забележено је 2.197 </w:t>
      </w:r>
      <w:r>
        <w:rPr>
          <w:rFonts w:ascii="Times New Roman" w:eastAsia="Times New Roman" w:hAnsi="Times New Roman" w:cs="Times New Roman"/>
          <w:i/>
          <w:sz w:val="24"/>
          <w:szCs w:val="24"/>
        </w:rPr>
        <w:t>кошева за кукуруз</w:t>
      </w:r>
      <w:r>
        <w:rPr>
          <w:rFonts w:ascii="Times New Roman" w:eastAsia="Times New Roman" w:hAnsi="Times New Roman" w:cs="Times New Roman"/>
          <w:sz w:val="24"/>
          <w:szCs w:val="24"/>
        </w:rPr>
        <w:t xml:space="preserve"> смештених на 903 пољопривредних газдинстава. Капацитет кошева за кукуруз износио је 84.494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од којих је у 2011/12. години искоришћено 46.067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(54,52%). На 31 пољопривредна газдинства смештено је 35 амбара капацитета 3.383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од којег је искоришћено 3.140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14:paraId="3C3FF692"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Смештајни капацитети </w:t>
      </w:r>
      <w:r>
        <w:rPr>
          <w:rFonts w:ascii="Times New Roman" w:eastAsia="Times New Roman" w:hAnsi="Times New Roman" w:cs="Times New Roman"/>
          <w:i/>
          <w:sz w:val="24"/>
          <w:szCs w:val="24"/>
        </w:rPr>
        <w:t>силоса</w:t>
      </w:r>
      <w:r>
        <w:rPr>
          <w:rFonts w:ascii="Times New Roman" w:eastAsia="Times New Roman" w:hAnsi="Times New Roman" w:cs="Times New Roman"/>
          <w:sz w:val="24"/>
          <w:szCs w:val="24"/>
        </w:rPr>
        <w:t xml:space="preserve"> на територији Врбаса износе 140.845 тона, од којих је у 2012/12. години искоришћено 138.927 тона (98,64%). Силоси си су смештени на 16 пољопривредних газдинстава, а њихов број је 46. Њихово учешће у укупном броју силоса на територији Јужнобачке области износи 11,36%.</w:t>
      </w:r>
    </w:p>
    <w:p w14:paraId="7CE31FD8" w14:textId="77777777" w:rsidR="000A4214" w:rsidRDefault="00111391">
      <w:pPr>
        <w:tabs>
          <w:tab w:val="left" w:pos="27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територији Врбаса налази се 20 пољопривредних газдинстава, на којима је смештено 24 </w:t>
      </w:r>
      <w:r>
        <w:rPr>
          <w:rFonts w:ascii="Times New Roman" w:eastAsia="Times New Roman" w:hAnsi="Times New Roman" w:cs="Times New Roman"/>
          <w:i/>
          <w:sz w:val="24"/>
          <w:szCs w:val="24"/>
        </w:rPr>
        <w:t>сушара</w:t>
      </w:r>
      <w:r>
        <w:rPr>
          <w:rFonts w:ascii="Times New Roman" w:eastAsia="Times New Roman" w:hAnsi="Times New Roman" w:cs="Times New Roman"/>
          <w:sz w:val="24"/>
          <w:szCs w:val="24"/>
        </w:rPr>
        <w:t xml:space="preserve"> капацитета 1.340 m</w:t>
      </w:r>
      <w:r>
        <w:rPr>
          <w:rFonts w:ascii="Times New Roman" w:eastAsia="Times New Roman" w:hAnsi="Times New Roman" w:cs="Times New Roman"/>
          <w:sz w:val="24"/>
          <w:szCs w:val="24"/>
          <w:vertAlign w:val="superscript"/>
        </w:rPr>
        <w:t xml:space="preserve">3 </w:t>
      </w:r>
      <w:r>
        <w:rPr>
          <w:rFonts w:ascii="Times New Roman" w:eastAsia="Times New Roman" w:hAnsi="Times New Roman" w:cs="Times New Roman"/>
          <w:sz w:val="24"/>
          <w:szCs w:val="24"/>
        </w:rPr>
        <w:t>од којих је у 2011/12. години искоришћен 1.344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Објекти за силажу смештени су на 10 пољопривредних газдинстава и има их 17. Њихов капацитет износи 11.113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од којих је искоришћено 11.083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14:paraId="30499562" w14:textId="77777777" w:rsidR="000A4214" w:rsidRDefault="00111391">
      <w:pPr>
        <w:tabs>
          <w:tab w:val="left" w:pos="270"/>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 територији Врбаса налази се 813 пољопривредних газдинстава, на којима је смештено 1.021 објекат за </w:t>
      </w:r>
      <w:r>
        <w:rPr>
          <w:rFonts w:ascii="Times New Roman" w:eastAsia="Times New Roman" w:hAnsi="Times New Roman" w:cs="Times New Roman"/>
          <w:i/>
          <w:sz w:val="24"/>
          <w:szCs w:val="24"/>
        </w:rPr>
        <w:t>смештај пољопривредних машина и опреме</w:t>
      </w:r>
      <w:r>
        <w:rPr>
          <w:rFonts w:ascii="Times New Roman" w:eastAsia="Times New Roman" w:hAnsi="Times New Roman" w:cs="Times New Roman"/>
          <w:sz w:val="24"/>
          <w:szCs w:val="24"/>
        </w:rPr>
        <w:t>, капацитета 61.569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од којих је у 2011/12. години искоришћен 57.329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14:paraId="11F4AA72" w14:textId="77777777" w:rsidR="000A4214" w:rsidRDefault="00111391">
      <w:pPr>
        <w:tabs>
          <w:tab w:val="left" w:pos="270"/>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Хладњаче</w:t>
      </w:r>
      <w:r>
        <w:rPr>
          <w:rFonts w:ascii="Times New Roman" w:eastAsia="Times New Roman" w:hAnsi="Times New Roman" w:cs="Times New Roman"/>
          <w:sz w:val="24"/>
          <w:szCs w:val="24"/>
        </w:rPr>
        <w:t xml:space="preserve"> су смештене на 6 пољопривредних газдинстава и има их 6. Њихов капацитет износи 13.975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од којих је искоришћено 9.420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14:paraId="723B82B8" w14:textId="77777777" w:rsidR="000A4214" w:rsidRDefault="00111391">
      <w:pPr>
        <w:tabs>
          <w:tab w:val="left" w:pos="360"/>
        </w:tabs>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општини Врбас постоји 7 пољопривредних газдинстава са 12 стакленика капацитета 11.728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од којег је у 2011/12. години коришћено 1.464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Постоји 162 пластеника на 63 пољопривредна газдинства, капацитета 77.977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Од овог капацитета искоришћено је 68.791 m</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w:t>
      </w:r>
    </w:p>
    <w:p w14:paraId="7012CC98" w14:textId="77777777" w:rsidR="000A4214" w:rsidRDefault="00111391">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6. Трансфер знања у пољопривреди</w:t>
      </w:r>
    </w:p>
    <w:p w14:paraId="1C3FD7E2"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 трансфер знања пољопривредницима најзначајнију улогу има ПСС „Врбас</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д.о.о. Врбас, која запошљава стручан кадар, поседује опремљену агропедолошку, семенску и фитосанитарну лабораторију, бави се матичењем и контролом продуктивности свих врста домаћих животиња и другим стручним и саветодавним активностима у пољопривреди. Поред праћења пословања на огледним газдинствима, у сарадњи са задругама, пољопривредним произвођачима и Општинском управом, ПСС „Врбас</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организује предавања и зимске школе за пољопривреднике у оквиру различитих тема (Интервју, саветодавац Владимир Ранков, ПСС </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Врбас</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25. 10. 2021).</w:t>
      </w:r>
    </w:p>
    <w:p w14:paraId="5849CBE5"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Поред саветодавне службе, надлежно одељење за пољопривреду у оквиру Општинске управе ангажује се у овом сегменту на различите начине, као што су: пружање техничких и консултантских услуга приликом конкурисања и писања пројеката за заинтересоване грађане, удружења и пољопривреднике, организација скупова и едукативних предавања, организација обука за електронско вођење Књиге поља (за закупце државног пољопривредног земљишта), организација обука за прикупљање података са метео станица, јавно информисање о актуелностима у пољопривреди.</w:t>
      </w:r>
    </w:p>
    <w:p w14:paraId="22200562"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Трансфер знања и информација пољопривредницима није довољно ефикасан, пре свега због ограничених капацитета и ресурса, а епидемиолошка ситуација у земљи условила је изостанак организација предавања, скупова и различитих манифестација. Генерално, нове технологије и знања брже и ефикасније се прихватају од стране млађих пољопривредника, веће економске снаге, који имају виши степен формалног образовања у пољопривреди.</w:t>
      </w:r>
    </w:p>
    <w:p w14:paraId="417B3760" w14:textId="77777777" w:rsidR="000A4214" w:rsidRDefault="00111391">
      <w:pPr>
        <w:spacing w:before="240" w:after="120" w:line="240" w:lineRule="auto"/>
        <w:jc w:val="both"/>
        <w:rPr>
          <w:rFonts w:ascii="Times" w:eastAsia="Times" w:hAnsi="Times" w:cs="Times"/>
          <w:b/>
          <w:sz w:val="24"/>
          <w:szCs w:val="24"/>
        </w:rPr>
      </w:pPr>
      <w:r>
        <w:rPr>
          <w:rFonts w:ascii="Times" w:eastAsia="Times" w:hAnsi="Times" w:cs="Times"/>
          <w:b/>
          <w:sz w:val="24"/>
          <w:szCs w:val="24"/>
        </w:rPr>
        <w:t>7. Развијеност руралне економије кроз диверсификацију активности чланова пољопривредних газдинстава</w:t>
      </w:r>
    </w:p>
    <w:p w14:paraId="2F082F40" w14:textId="77777777" w:rsidR="000A4214" w:rsidRDefault="00111391">
      <w:pPr>
        <w:spacing w:before="24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7.1. Анализа развијености руралне економије</w:t>
      </w:r>
    </w:p>
    <w:p w14:paraId="680967C4" w14:textId="77777777" w:rsidR="000A4214" w:rsidRDefault="000A4214">
      <w:pPr>
        <w:spacing w:after="0" w:line="240" w:lineRule="auto"/>
        <w:jc w:val="both"/>
        <w:rPr>
          <w:rFonts w:ascii="Times New Roman" w:eastAsia="Times New Roman" w:hAnsi="Times New Roman" w:cs="Times New Roman"/>
          <w:sz w:val="24"/>
          <w:szCs w:val="24"/>
        </w:rPr>
      </w:pPr>
    </w:p>
    <w:p w14:paraId="4BDEA8E9"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општини Врбас је према подацима РЗС у седам насеља у 2019. години живело 39.099 становника. Просечна густина насељености на 1 км</w:t>
      </w:r>
      <w:r>
        <w:rPr>
          <w:rFonts w:ascii="Times New Roman" w:eastAsia="Times New Roman" w:hAnsi="Times New Roman" w:cs="Times New Roman"/>
          <w:sz w:val="24"/>
          <w:szCs w:val="24"/>
          <w:vertAlign w:val="superscript"/>
        </w:rPr>
        <w:t xml:space="preserve">2 </w:t>
      </w:r>
      <w:r>
        <w:rPr>
          <w:rFonts w:ascii="Times New Roman" w:eastAsia="Times New Roman" w:hAnsi="Times New Roman" w:cs="Times New Roman"/>
          <w:sz w:val="24"/>
          <w:szCs w:val="24"/>
        </w:rPr>
        <w:t>је 104 становника. Просечна старост становника је 40,8 година старости, што је нивоу просека Републике, где износи 42,2 године старости.</w:t>
      </w:r>
      <w:r>
        <w:rPr>
          <w:rStyle w:val="FootnoteAnchor"/>
          <w:rFonts w:ascii="Times New Roman" w:eastAsia="Times New Roman" w:hAnsi="Times New Roman" w:cs="Times New Roman"/>
          <w:sz w:val="24"/>
          <w:szCs w:val="24"/>
        </w:rPr>
        <w:footnoteReference w:id="3"/>
      </w:r>
    </w:p>
    <w:p w14:paraId="3802E343" w14:textId="77777777" w:rsidR="000A4214" w:rsidRDefault="00111391">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Као највеће се издваја урбани центар општине Врбас са 24.112 становника, док остала насеља бележе далеко мањи број становника и могу се сврстати у насеља сеоског типа. </w:t>
      </w:r>
      <w:r>
        <w:rPr>
          <w:rFonts w:ascii="Times New Roman" w:eastAsia="Times New Roman" w:hAnsi="Times New Roman" w:cs="Times New Roman"/>
          <w:sz w:val="24"/>
          <w:szCs w:val="24"/>
        </w:rPr>
        <w:lastRenderedPageBreak/>
        <w:t>У односу на број становника и просечну густину насељености, територија општине Врбас, изузев урбаног центра, спада у рурална подручја</w:t>
      </w:r>
      <w:r>
        <w:rPr>
          <w:rStyle w:val="FootnoteAnchor"/>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w:t>
      </w:r>
    </w:p>
    <w:p w14:paraId="61D55B67" w14:textId="77777777" w:rsidR="000A4214" w:rsidRDefault="00111391">
      <w:pPr>
        <w:spacing w:before="6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Табела 14. </w:t>
      </w:r>
      <w:r>
        <w:rPr>
          <w:rFonts w:ascii="Times New Roman" w:eastAsia="Times New Roman" w:hAnsi="Times New Roman" w:cs="Times New Roman"/>
          <w:sz w:val="24"/>
          <w:szCs w:val="24"/>
        </w:rPr>
        <w:t>Број газдинстава и број становника у општини Врбас по насељима</w:t>
      </w:r>
    </w:p>
    <w:tbl>
      <w:tblPr>
        <w:tblW w:w="9053" w:type="dxa"/>
        <w:jc w:val="center"/>
        <w:tblLayout w:type="fixed"/>
        <w:tblLook w:val="0400" w:firstRow="0" w:lastRow="0" w:firstColumn="0" w:lastColumn="0" w:noHBand="0" w:noVBand="1"/>
      </w:tblPr>
      <w:tblGrid>
        <w:gridCol w:w="2400"/>
        <w:gridCol w:w="1890"/>
        <w:gridCol w:w="3387"/>
        <w:gridCol w:w="1376"/>
      </w:tblGrid>
      <w:tr w:rsidR="000A4214" w14:paraId="0BE29034" w14:textId="77777777">
        <w:trPr>
          <w:trHeight w:val="321"/>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512064FE"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 xml:space="preserve">Општина Врбас </w:t>
            </w:r>
            <w:r>
              <w:rPr>
                <w:rFonts w:ascii="Times New Roman" w:eastAsia="Times New Roman" w:hAnsi="Times New Roman" w:cs="Times New Roman"/>
                <w:b/>
                <w:sz w:val="24"/>
                <w:szCs w:val="24"/>
              </w:rPr>
              <w:t xml:space="preserve">– </w:t>
            </w:r>
            <w:r>
              <w:rPr>
                <w:rFonts w:ascii="Times New Roman" w:eastAsia="Times New Roman" w:hAnsi="Times New Roman" w:cs="Times New Roman"/>
                <w:b/>
              </w:rPr>
              <w:t>насеља</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F57A9"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 xml:space="preserve">Број </w:t>
            </w:r>
          </w:p>
          <w:p w14:paraId="4762E41B"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газдинстава</w:t>
            </w:r>
          </w:p>
        </w:tc>
        <w:tc>
          <w:tcPr>
            <w:tcW w:w="3387" w:type="dxa"/>
            <w:tcBorders>
              <w:top w:val="single" w:sz="4" w:space="0" w:color="000000"/>
              <w:left w:val="single" w:sz="4" w:space="0" w:color="000000"/>
              <w:bottom w:val="single" w:sz="4" w:space="0" w:color="000000"/>
              <w:right w:val="single" w:sz="4" w:space="0" w:color="000000"/>
            </w:tcBorders>
            <w:vAlign w:val="center"/>
          </w:tcPr>
          <w:p w14:paraId="37D5C75C"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Број газдинства који обављају другу профитабилну активност</w:t>
            </w:r>
          </w:p>
        </w:tc>
        <w:tc>
          <w:tcPr>
            <w:tcW w:w="1376" w:type="dxa"/>
            <w:tcBorders>
              <w:top w:val="single" w:sz="4" w:space="0" w:color="000000"/>
              <w:left w:val="single" w:sz="4" w:space="0" w:color="000000"/>
              <w:bottom w:val="single" w:sz="4" w:space="0" w:color="000000"/>
              <w:right w:val="single" w:sz="4" w:space="0" w:color="000000"/>
            </w:tcBorders>
            <w:vAlign w:val="center"/>
          </w:tcPr>
          <w:p w14:paraId="1F4DEF50" w14:textId="77777777" w:rsidR="000A4214" w:rsidRDefault="00111391">
            <w:pPr>
              <w:widowControl w:val="0"/>
              <w:jc w:val="center"/>
              <w:rPr>
                <w:rFonts w:ascii="Times New Roman" w:eastAsia="Times New Roman" w:hAnsi="Times New Roman" w:cs="Times New Roman"/>
                <w:b/>
              </w:rPr>
            </w:pPr>
            <w:r>
              <w:rPr>
                <w:rFonts w:ascii="Times New Roman" w:eastAsia="Times New Roman" w:hAnsi="Times New Roman" w:cs="Times New Roman"/>
                <w:b/>
              </w:rPr>
              <w:t>Укупан број становника</w:t>
            </w:r>
          </w:p>
        </w:tc>
      </w:tr>
      <w:tr w:rsidR="000A4214" w14:paraId="73F73EF3" w14:textId="77777777">
        <w:trPr>
          <w:trHeight w:val="253"/>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0DC2E0F4" w14:textId="77777777" w:rsidR="000A4214" w:rsidRDefault="00111391">
            <w:pPr>
              <w:widowControl w:val="0"/>
              <w:ind w:left="-71"/>
              <w:rPr>
                <w:rFonts w:ascii="Times New Roman" w:eastAsia="Times New Roman" w:hAnsi="Times New Roman" w:cs="Times New Roman"/>
              </w:rPr>
            </w:pPr>
            <w:r>
              <w:rPr>
                <w:rFonts w:ascii="Times New Roman" w:eastAsia="Times New Roman" w:hAnsi="Times New Roman" w:cs="Times New Roman"/>
              </w:rPr>
              <w:t>Бачко Добро Поље</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83C9DC0"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533</w:t>
            </w:r>
          </w:p>
        </w:tc>
        <w:tc>
          <w:tcPr>
            <w:tcW w:w="3387" w:type="dxa"/>
            <w:tcBorders>
              <w:top w:val="single" w:sz="4" w:space="0" w:color="000000"/>
              <w:left w:val="single" w:sz="4" w:space="0" w:color="000000"/>
              <w:bottom w:val="single" w:sz="4" w:space="0" w:color="000000"/>
              <w:right w:val="single" w:sz="4" w:space="0" w:color="000000"/>
            </w:tcBorders>
          </w:tcPr>
          <w:p w14:paraId="187C8F91"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42</w:t>
            </w:r>
          </w:p>
        </w:tc>
        <w:tc>
          <w:tcPr>
            <w:tcW w:w="1376" w:type="dxa"/>
            <w:tcBorders>
              <w:top w:val="single" w:sz="4" w:space="0" w:color="000000"/>
              <w:left w:val="single" w:sz="4" w:space="0" w:color="000000"/>
              <w:bottom w:val="single" w:sz="4" w:space="0" w:color="000000"/>
              <w:right w:val="single" w:sz="4" w:space="0" w:color="000000"/>
            </w:tcBorders>
          </w:tcPr>
          <w:p w14:paraId="7D9C65B8"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3.541</w:t>
            </w:r>
          </w:p>
        </w:tc>
      </w:tr>
      <w:tr w:rsidR="000A4214" w14:paraId="58709016" w14:textId="77777777">
        <w:trPr>
          <w:trHeight w:val="253"/>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6F36DAE6" w14:textId="77777777" w:rsidR="000A4214" w:rsidRDefault="00111391">
            <w:pPr>
              <w:widowControl w:val="0"/>
              <w:ind w:left="-71"/>
              <w:rPr>
                <w:rFonts w:ascii="Times New Roman" w:eastAsia="Times New Roman" w:hAnsi="Times New Roman" w:cs="Times New Roman"/>
              </w:rPr>
            </w:pPr>
            <w:r>
              <w:rPr>
                <w:rFonts w:ascii="Times New Roman" w:eastAsia="Times New Roman" w:hAnsi="Times New Roman" w:cs="Times New Roman"/>
              </w:rPr>
              <w:t>Врбас</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67895AE"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760</w:t>
            </w:r>
          </w:p>
        </w:tc>
        <w:tc>
          <w:tcPr>
            <w:tcW w:w="3387" w:type="dxa"/>
            <w:tcBorders>
              <w:top w:val="single" w:sz="4" w:space="0" w:color="000000"/>
              <w:left w:val="single" w:sz="4" w:space="0" w:color="000000"/>
              <w:bottom w:val="single" w:sz="4" w:space="0" w:color="000000"/>
              <w:right w:val="single" w:sz="4" w:space="0" w:color="000000"/>
            </w:tcBorders>
          </w:tcPr>
          <w:p w14:paraId="7B12EBE1" w14:textId="77777777" w:rsidR="000A4214" w:rsidRDefault="00111391">
            <w:pPr>
              <w:widowControl w:val="0"/>
              <w:tabs>
                <w:tab w:val="center" w:pos="897"/>
                <w:tab w:val="right" w:pos="1866"/>
              </w:tabs>
              <w:ind w:left="-71"/>
              <w:jc w:val="right"/>
              <w:rPr>
                <w:rFonts w:ascii="Times New Roman" w:eastAsia="Times New Roman" w:hAnsi="Times New Roman" w:cs="Times New Roman"/>
              </w:rPr>
            </w:pPr>
            <w:r>
              <w:rPr>
                <w:rFonts w:ascii="Times New Roman" w:eastAsia="Times New Roman" w:hAnsi="Times New Roman" w:cs="Times New Roman"/>
              </w:rPr>
              <w:t>26</w:t>
            </w:r>
          </w:p>
        </w:tc>
        <w:tc>
          <w:tcPr>
            <w:tcW w:w="1376" w:type="dxa"/>
            <w:tcBorders>
              <w:top w:val="single" w:sz="4" w:space="0" w:color="000000"/>
              <w:left w:val="single" w:sz="4" w:space="0" w:color="000000"/>
              <w:bottom w:val="single" w:sz="4" w:space="0" w:color="000000"/>
              <w:right w:val="single" w:sz="4" w:space="0" w:color="000000"/>
            </w:tcBorders>
          </w:tcPr>
          <w:p w14:paraId="1FF0155F" w14:textId="77777777" w:rsidR="000A4214" w:rsidRDefault="00111391">
            <w:pPr>
              <w:widowControl w:val="0"/>
              <w:tabs>
                <w:tab w:val="center" w:pos="897"/>
                <w:tab w:val="right" w:pos="1866"/>
              </w:tabs>
              <w:ind w:left="-71"/>
              <w:jc w:val="right"/>
              <w:rPr>
                <w:rFonts w:ascii="Times New Roman" w:eastAsia="Times New Roman" w:hAnsi="Times New Roman" w:cs="Times New Roman"/>
              </w:rPr>
            </w:pPr>
            <w:r>
              <w:rPr>
                <w:rFonts w:ascii="Times New Roman" w:eastAsia="Times New Roman" w:hAnsi="Times New Roman" w:cs="Times New Roman"/>
              </w:rPr>
              <w:t>24.112</w:t>
            </w:r>
          </w:p>
        </w:tc>
      </w:tr>
      <w:tr w:rsidR="000A4214" w14:paraId="3A7D423E" w14:textId="77777777">
        <w:trPr>
          <w:trHeight w:val="253"/>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71548D22" w14:textId="77777777" w:rsidR="000A4214" w:rsidRDefault="00111391">
            <w:pPr>
              <w:widowControl w:val="0"/>
              <w:ind w:left="-71"/>
              <w:rPr>
                <w:rFonts w:ascii="Times New Roman" w:eastAsia="Times New Roman" w:hAnsi="Times New Roman" w:cs="Times New Roman"/>
              </w:rPr>
            </w:pPr>
            <w:r>
              <w:rPr>
                <w:rFonts w:ascii="Times New Roman" w:eastAsia="Times New Roman" w:hAnsi="Times New Roman" w:cs="Times New Roman"/>
              </w:rPr>
              <w:t>Змајево</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3B735D4"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455</w:t>
            </w:r>
          </w:p>
        </w:tc>
        <w:tc>
          <w:tcPr>
            <w:tcW w:w="3387" w:type="dxa"/>
            <w:tcBorders>
              <w:top w:val="single" w:sz="4" w:space="0" w:color="000000"/>
              <w:left w:val="single" w:sz="4" w:space="0" w:color="000000"/>
              <w:bottom w:val="single" w:sz="4" w:space="0" w:color="000000"/>
              <w:right w:val="single" w:sz="4" w:space="0" w:color="000000"/>
            </w:tcBorders>
          </w:tcPr>
          <w:p w14:paraId="3698F62F"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19</w:t>
            </w:r>
          </w:p>
        </w:tc>
        <w:tc>
          <w:tcPr>
            <w:tcW w:w="1376" w:type="dxa"/>
            <w:tcBorders>
              <w:top w:val="single" w:sz="4" w:space="0" w:color="000000"/>
              <w:left w:val="single" w:sz="4" w:space="0" w:color="000000"/>
              <w:bottom w:val="single" w:sz="4" w:space="0" w:color="000000"/>
              <w:right w:val="single" w:sz="4" w:space="0" w:color="000000"/>
            </w:tcBorders>
          </w:tcPr>
          <w:p w14:paraId="25293FB1"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3.926</w:t>
            </w:r>
          </w:p>
        </w:tc>
      </w:tr>
      <w:tr w:rsidR="000A4214" w14:paraId="5094D458" w14:textId="77777777">
        <w:trPr>
          <w:trHeight w:val="253"/>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72630F4D" w14:textId="77777777" w:rsidR="000A4214" w:rsidRDefault="00111391">
            <w:pPr>
              <w:widowControl w:val="0"/>
              <w:ind w:left="-71"/>
              <w:rPr>
                <w:rFonts w:ascii="Times New Roman" w:eastAsia="Times New Roman" w:hAnsi="Times New Roman" w:cs="Times New Roman"/>
              </w:rPr>
            </w:pPr>
            <w:r>
              <w:rPr>
                <w:rFonts w:ascii="Times New Roman" w:eastAsia="Times New Roman" w:hAnsi="Times New Roman" w:cs="Times New Roman"/>
              </w:rPr>
              <w:t>Косанчић</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D4EE173"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12</w:t>
            </w:r>
          </w:p>
        </w:tc>
        <w:tc>
          <w:tcPr>
            <w:tcW w:w="3387" w:type="dxa"/>
            <w:tcBorders>
              <w:top w:val="single" w:sz="4" w:space="0" w:color="000000"/>
              <w:left w:val="single" w:sz="4" w:space="0" w:color="000000"/>
              <w:bottom w:val="single" w:sz="4" w:space="0" w:color="000000"/>
              <w:right w:val="single" w:sz="4" w:space="0" w:color="000000"/>
            </w:tcBorders>
          </w:tcPr>
          <w:p w14:paraId="362BE8F2"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4</w:t>
            </w:r>
          </w:p>
        </w:tc>
        <w:tc>
          <w:tcPr>
            <w:tcW w:w="1376" w:type="dxa"/>
            <w:tcBorders>
              <w:top w:val="single" w:sz="4" w:space="0" w:color="000000"/>
              <w:left w:val="single" w:sz="4" w:space="0" w:color="000000"/>
              <w:bottom w:val="single" w:sz="4" w:space="0" w:color="000000"/>
              <w:right w:val="single" w:sz="4" w:space="0" w:color="000000"/>
            </w:tcBorders>
          </w:tcPr>
          <w:p w14:paraId="4D946288"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101</w:t>
            </w:r>
          </w:p>
        </w:tc>
      </w:tr>
      <w:tr w:rsidR="000A4214" w14:paraId="3D0CEB58" w14:textId="77777777">
        <w:trPr>
          <w:trHeight w:val="253"/>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78A3251B" w14:textId="77777777" w:rsidR="000A4214" w:rsidRDefault="00111391">
            <w:pPr>
              <w:widowControl w:val="0"/>
              <w:ind w:left="-71"/>
              <w:rPr>
                <w:rFonts w:ascii="Times New Roman" w:eastAsia="Times New Roman" w:hAnsi="Times New Roman" w:cs="Times New Roman"/>
              </w:rPr>
            </w:pPr>
            <w:r>
              <w:rPr>
                <w:rFonts w:ascii="Times New Roman" w:eastAsia="Times New Roman" w:hAnsi="Times New Roman" w:cs="Times New Roman"/>
              </w:rPr>
              <w:t>Куцура</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5D387A7"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634</w:t>
            </w:r>
          </w:p>
        </w:tc>
        <w:tc>
          <w:tcPr>
            <w:tcW w:w="3387" w:type="dxa"/>
            <w:tcBorders>
              <w:top w:val="single" w:sz="4" w:space="0" w:color="000000"/>
              <w:left w:val="single" w:sz="4" w:space="0" w:color="000000"/>
              <w:bottom w:val="single" w:sz="4" w:space="0" w:color="000000"/>
              <w:right w:val="single" w:sz="4" w:space="0" w:color="000000"/>
            </w:tcBorders>
          </w:tcPr>
          <w:p w14:paraId="3F07DB79"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28</w:t>
            </w:r>
          </w:p>
        </w:tc>
        <w:tc>
          <w:tcPr>
            <w:tcW w:w="1376" w:type="dxa"/>
            <w:tcBorders>
              <w:top w:val="single" w:sz="4" w:space="0" w:color="000000"/>
              <w:left w:val="single" w:sz="4" w:space="0" w:color="000000"/>
              <w:bottom w:val="single" w:sz="4" w:space="0" w:color="000000"/>
              <w:right w:val="single" w:sz="4" w:space="0" w:color="000000"/>
            </w:tcBorders>
          </w:tcPr>
          <w:p w14:paraId="2B7B8793"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4.348</w:t>
            </w:r>
          </w:p>
        </w:tc>
      </w:tr>
      <w:tr w:rsidR="000A4214" w14:paraId="4B290F87" w14:textId="77777777">
        <w:trPr>
          <w:trHeight w:val="253"/>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33AD59C0" w14:textId="77777777" w:rsidR="000A4214" w:rsidRDefault="00111391">
            <w:pPr>
              <w:widowControl w:val="0"/>
              <w:ind w:left="-71"/>
              <w:rPr>
                <w:rFonts w:ascii="Times New Roman" w:eastAsia="Times New Roman" w:hAnsi="Times New Roman" w:cs="Times New Roman"/>
              </w:rPr>
            </w:pPr>
            <w:r>
              <w:rPr>
                <w:rFonts w:ascii="Times New Roman" w:eastAsia="Times New Roman" w:hAnsi="Times New Roman" w:cs="Times New Roman"/>
              </w:rPr>
              <w:t>Равно Село</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C58D8DE"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357</w:t>
            </w:r>
          </w:p>
        </w:tc>
        <w:tc>
          <w:tcPr>
            <w:tcW w:w="3387" w:type="dxa"/>
            <w:tcBorders>
              <w:top w:val="single" w:sz="4" w:space="0" w:color="000000"/>
              <w:left w:val="single" w:sz="4" w:space="0" w:color="000000"/>
              <w:bottom w:val="single" w:sz="4" w:space="0" w:color="000000"/>
              <w:right w:val="single" w:sz="4" w:space="0" w:color="000000"/>
            </w:tcBorders>
          </w:tcPr>
          <w:p w14:paraId="17848661"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30</w:t>
            </w:r>
          </w:p>
        </w:tc>
        <w:tc>
          <w:tcPr>
            <w:tcW w:w="1376" w:type="dxa"/>
            <w:tcBorders>
              <w:top w:val="single" w:sz="4" w:space="0" w:color="000000"/>
              <w:left w:val="single" w:sz="4" w:space="0" w:color="000000"/>
              <w:bottom w:val="single" w:sz="4" w:space="0" w:color="000000"/>
              <w:right w:val="single" w:sz="4" w:space="0" w:color="000000"/>
            </w:tcBorders>
          </w:tcPr>
          <w:p w14:paraId="522406E3"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3.107</w:t>
            </w:r>
          </w:p>
        </w:tc>
      </w:tr>
      <w:tr w:rsidR="000A4214" w14:paraId="6D4EAA67" w14:textId="77777777">
        <w:trPr>
          <w:trHeight w:val="253"/>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01457873" w14:textId="77777777" w:rsidR="000A4214" w:rsidRDefault="00111391">
            <w:pPr>
              <w:widowControl w:val="0"/>
              <w:ind w:left="-71"/>
              <w:rPr>
                <w:rFonts w:ascii="Times New Roman" w:eastAsia="Times New Roman" w:hAnsi="Times New Roman" w:cs="Times New Roman"/>
              </w:rPr>
            </w:pPr>
            <w:r>
              <w:rPr>
                <w:rFonts w:ascii="Times New Roman" w:eastAsia="Times New Roman" w:hAnsi="Times New Roman" w:cs="Times New Roman"/>
              </w:rPr>
              <w:t>Савино Село</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12A956A"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538</w:t>
            </w:r>
          </w:p>
        </w:tc>
        <w:tc>
          <w:tcPr>
            <w:tcW w:w="3387" w:type="dxa"/>
            <w:tcBorders>
              <w:top w:val="single" w:sz="4" w:space="0" w:color="000000"/>
              <w:left w:val="single" w:sz="4" w:space="0" w:color="000000"/>
              <w:bottom w:val="single" w:sz="4" w:space="0" w:color="000000"/>
              <w:right w:val="single" w:sz="4" w:space="0" w:color="000000"/>
            </w:tcBorders>
          </w:tcPr>
          <w:p w14:paraId="39B2E1D8"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26</w:t>
            </w:r>
          </w:p>
        </w:tc>
        <w:tc>
          <w:tcPr>
            <w:tcW w:w="1376" w:type="dxa"/>
            <w:tcBorders>
              <w:top w:val="single" w:sz="4" w:space="0" w:color="000000"/>
              <w:left w:val="single" w:sz="4" w:space="0" w:color="000000"/>
              <w:bottom w:val="single" w:sz="4" w:space="0" w:color="000000"/>
              <w:right w:val="single" w:sz="4" w:space="0" w:color="000000"/>
            </w:tcBorders>
          </w:tcPr>
          <w:p w14:paraId="1E8EF4B6" w14:textId="77777777" w:rsidR="000A4214" w:rsidRDefault="00111391">
            <w:pPr>
              <w:widowControl w:val="0"/>
              <w:ind w:left="-71"/>
              <w:jc w:val="right"/>
              <w:rPr>
                <w:rFonts w:ascii="Times New Roman" w:eastAsia="Times New Roman" w:hAnsi="Times New Roman" w:cs="Times New Roman"/>
              </w:rPr>
            </w:pPr>
            <w:r>
              <w:rPr>
                <w:rFonts w:ascii="Times New Roman" w:eastAsia="Times New Roman" w:hAnsi="Times New Roman" w:cs="Times New Roman"/>
              </w:rPr>
              <w:t>2.957</w:t>
            </w:r>
          </w:p>
        </w:tc>
      </w:tr>
      <w:tr w:rsidR="000A4214" w14:paraId="4E10E5D1" w14:textId="77777777">
        <w:trPr>
          <w:trHeight w:val="271"/>
          <w:jc w:val="center"/>
        </w:trPr>
        <w:tc>
          <w:tcPr>
            <w:tcW w:w="2399" w:type="dxa"/>
            <w:tcBorders>
              <w:top w:val="single" w:sz="4" w:space="0" w:color="000000"/>
              <w:left w:val="single" w:sz="4" w:space="0" w:color="000000"/>
              <w:bottom w:val="single" w:sz="4" w:space="0" w:color="000000"/>
              <w:right w:val="single" w:sz="4" w:space="0" w:color="000000"/>
            </w:tcBorders>
            <w:vAlign w:val="center"/>
          </w:tcPr>
          <w:p w14:paraId="7DEC2BC6" w14:textId="77777777" w:rsidR="000A4214" w:rsidRDefault="00111391">
            <w:pPr>
              <w:widowControl w:val="0"/>
              <w:ind w:left="-71"/>
              <w:rPr>
                <w:rFonts w:ascii="Times New Roman" w:eastAsia="Times New Roman" w:hAnsi="Times New Roman" w:cs="Times New Roman"/>
                <w:b/>
              </w:rPr>
            </w:pPr>
            <w:r>
              <w:rPr>
                <w:rFonts w:ascii="Times New Roman" w:eastAsia="Times New Roman" w:hAnsi="Times New Roman" w:cs="Times New Roman"/>
                <w:b/>
              </w:rPr>
              <w:t>Укупно</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83C98" w14:textId="77777777" w:rsidR="000A4214" w:rsidRDefault="00111391">
            <w:pPr>
              <w:widowControl w:val="0"/>
              <w:ind w:left="-71"/>
              <w:jc w:val="right"/>
              <w:rPr>
                <w:rFonts w:ascii="Times New Roman" w:eastAsia="Times New Roman" w:hAnsi="Times New Roman" w:cs="Times New Roman"/>
                <w:b/>
              </w:rPr>
            </w:pPr>
            <w:r>
              <w:rPr>
                <w:rFonts w:ascii="Times New Roman" w:eastAsia="Times New Roman" w:hAnsi="Times New Roman" w:cs="Times New Roman"/>
                <w:b/>
              </w:rPr>
              <w:t>3.289</w:t>
            </w:r>
          </w:p>
        </w:tc>
        <w:tc>
          <w:tcPr>
            <w:tcW w:w="3387" w:type="dxa"/>
            <w:tcBorders>
              <w:top w:val="single" w:sz="4" w:space="0" w:color="000000"/>
              <w:left w:val="single" w:sz="4" w:space="0" w:color="000000"/>
              <w:bottom w:val="single" w:sz="4" w:space="0" w:color="000000"/>
              <w:right w:val="single" w:sz="4" w:space="0" w:color="000000"/>
            </w:tcBorders>
            <w:vAlign w:val="center"/>
          </w:tcPr>
          <w:p w14:paraId="1C198231" w14:textId="77777777" w:rsidR="000A4214" w:rsidRDefault="00111391">
            <w:pPr>
              <w:widowControl w:val="0"/>
              <w:ind w:left="-71"/>
              <w:jc w:val="right"/>
              <w:rPr>
                <w:rFonts w:ascii="Times New Roman" w:eastAsia="Times New Roman" w:hAnsi="Times New Roman" w:cs="Times New Roman"/>
                <w:b/>
              </w:rPr>
            </w:pPr>
            <w:r>
              <w:rPr>
                <w:rFonts w:ascii="Times New Roman" w:eastAsia="Times New Roman" w:hAnsi="Times New Roman" w:cs="Times New Roman"/>
                <w:b/>
              </w:rPr>
              <w:t>175</w:t>
            </w:r>
          </w:p>
        </w:tc>
        <w:tc>
          <w:tcPr>
            <w:tcW w:w="1376" w:type="dxa"/>
            <w:tcBorders>
              <w:top w:val="single" w:sz="4" w:space="0" w:color="000000"/>
              <w:left w:val="single" w:sz="4" w:space="0" w:color="000000"/>
              <w:bottom w:val="single" w:sz="4" w:space="0" w:color="000000"/>
              <w:right w:val="single" w:sz="4" w:space="0" w:color="000000"/>
            </w:tcBorders>
            <w:vAlign w:val="center"/>
          </w:tcPr>
          <w:p w14:paraId="19A445A7" w14:textId="77777777" w:rsidR="000A4214" w:rsidRDefault="00111391">
            <w:pPr>
              <w:widowControl w:val="0"/>
              <w:ind w:left="-71"/>
              <w:jc w:val="right"/>
              <w:rPr>
                <w:rFonts w:ascii="Times New Roman" w:eastAsia="Times New Roman" w:hAnsi="Times New Roman" w:cs="Times New Roman"/>
                <w:b/>
              </w:rPr>
            </w:pPr>
            <w:r>
              <w:rPr>
                <w:rFonts w:ascii="Times New Roman" w:eastAsia="Times New Roman" w:hAnsi="Times New Roman" w:cs="Times New Roman"/>
                <w:b/>
              </w:rPr>
              <w:t>42.092</w:t>
            </w:r>
          </w:p>
        </w:tc>
      </w:tr>
    </w:tbl>
    <w:p w14:paraId="794D6E12" w14:textId="77777777" w:rsidR="000A4214" w:rsidRDefault="00111391">
      <w:pPr>
        <w:spacing w:after="0" w:line="240" w:lineRule="auto"/>
        <w:rPr>
          <w:rFonts w:ascii="Times New Roman" w:eastAsia="Times New Roman" w:hAnsi="Times New Roman" w:cs="Times New Roman"/>
          <w:color w:val="0000FF"/>
          <w:sz w:val="20"/>
          <w:szCs w:val="20"/>
          <w:u w:val="single"/>
        </w:rPr>
      </w:pPr>
      <w:r>
        <w:rPr>
          <w:rFonts w:ascii="Times New Roman" w:eastAsia="Times New Roman" w:hAnsi="Times New Roman" w:cs="Times New Roman"/>
          <w:sz w:val="20"/>
          <w:szCs w:val="20"/>
        </w:rPr>
        <w:t>Извор:</w:t>
      </w:r>
      <w:r>
        <w:rPr>
          <w:rFonts w:ascii="Times New Roman" w:eastAsia="Times New Roman" w:hAnsi="Times New Roman" w:cs="Times New Roman"/>
          <w:i/>
          <w:sz w:val="20"/>
          <w:szCs w:val="20"/>
        </w:rPr>
        <w:t xml:space="preserve"> </w:t>
      </w:r>
      <w:r>
        <w:rPr>
          <w:rFonts w:ascii="Times New Roman" w:eastAsia="Times New Roman" w:hAnsi="Times New Roman" w:cs="Times New Roman"/>
          <w:i/>
          <w:iCs/>
          <w:sz w:val="20"/>
          <w:szCs w:val="20"/>
        </w:rPr>
        <w:t xml:space="preserve">Попис пољопривреде </w:t>
      </w:r>
      <w:r>
        <w:rPr>
          <w:rFonts w:ascii="Times New Roman" w:eastAsia="Times New Roman" w:hAnsi="Times New Roman" w:cs="Times New Roman"/>
          <w:sz w:val="20"/>
          <w:szCs w:val="20"/>
        </w:rPr>
        <w:t>2012</w:t>
      </w:r>
      <w:r>
        <w:rPr>
          <w:rFonts w:ascii="Times New Roman" w:eastAsia="Times New Roman" w:hAnsi="Times New Roman" w:cs="Times New Roman"/>
          <w:i/>
          <w:iCs/>
          <w:sz w:val="20"/>
          <w:szCs w:val="20"/>
        </w:rPr>
        <w:t>. године</w:t>
      </w:r>
      <w:r>
        <w:rPr>
          <w:rFonts w:ascii="Times New Roman" w:eastAsia="Times New Roman" w:hAnsi="Times New Roman" w:cs="Times New Roman"/>
          <w:sz w:val="20"/>
          <w:szCs w:val="20"/>
        </w:rPr>
        <w:t>, web. link:</w:t>
      </w:r>
      <w:hyperlink r:id="rId15">
        <w:r>
          <w:rPr>
            <w:rFonts w:ascii="Times New Roman" w:eastAsia="Times New Roman" w:hAnsi="Times New Roman" w:cs="Times New Roman"/>
            <w:color w:val="0000FF"/>
            <w:sz w:val="20"/>
            <w:szCs w:val="20"/>
            <w:u w:val="single"/>
          </w:rPr>
          <w:t>http://popispoljoprivrede.stat.rs/?page_id=6221</w:t>
        </w:r>
      </w:hyperlink>
      <w:r>
        <w:rPr>
          <w:rFonts w:ascii="Times New Roman" w:eastAsia="Times New Roman" w:hAnsi="Times New Roman" w:cs="Times New Roman"/>
          <w:sz w:val="20"/>
          <w:szCs w:val="20"/>
        </w:rPr>
        <w:t xml:space="preserve">и </w:t>
      </w:r>
      <w:r>
        <w:rPr>
          <w:rFonts w:ascii="Times New Roman" w:eastAsia="Times New Roman" w:hAnsi="Times New Roman" w:cs="Times New Roman"/>
          <w:i/>
          <w:iCs/>
          <w:sz w:val="20"/>
          <w:szCs w:val="20"/>
        </w:rPr>
        <w:t>Попис становништва 2011 године</w:t>
      </w:r>
      <w:r>
        <w:rPr>
          <w:rFonts w:ascii="Times New Roman" w:eastAsia="Times New Roman" w:hAnsi="Times New Roman" w:cs="Times New Roman"/>
          <w:sz w:val="20"/>
          <w:szCs w:val="20"/>
        </w:rPr>
        <w:t xml:space="preserve">, РЗС, web. link: </w:t>
      </w:r>
      <w:hyperlink r:id="rId16">
        <w:r>
          <w:rPr>
            <w:rFonts w:ascii="Times New Roman" w:eastAsia="Times New Roman" w:hAnsi="Times New Roman" w:cs="Times New Roman"/>
            <w:color w:val="0000FF"/>
            <w:sz w:val="20"/>
            <w:szCs w:val="20"/>
            <w:u w:val="single"/>
          </w:rPr>
          <w:t>https://pod2.stat.gov.rs/ObjavljenePublikacije/Popis2011/Knjiga20.pdf</w:t>
        </w:r>
      </w:hyperlink>
    </w:p>
    <w:p w14:paraId="2A849F01" w14:textId="77777777" w:rsidR="000A4214" w:rsidRDefault="000A4214">
      <w:pPr>
        <w:spacing w:after="0" w:line="240" w:lineRule="auto"/>
        <w:jc w:val="both"/>
        <w:rPr>
          <w:rFonts w:ascii="Times New Roman" w:eastAsia="Times New Roman" w:hAnsi="Times New Roman" w:cs="Times New Roman"/>
          <w:sz w:val="24"/>
          <w:szCs w:val="24"/>
        </w:rPr>
      </w:pPr>
    </w:p>
    <w:p w14:paraId="3CD4A395" w14:textId="77777777" w:rsidR="000A4214" w:rsidRDefault="00111391">
      <w:pPr>
        <w:spacing w:before="240" w:after="12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sz w:val="24"/>
          <w:szCs w:val="24"/>
        </w:rPr>
        <w:t>7.2. Диверсификација руралне економије кроз додатне економске активности носиоца пољопривредних газдинстава</w:t>
      </w:r>
    </w:p>
    <w:p w14:paraId="44946A23" w14:textId="77777777" w:rsidR="000A4214" w:rsidRDefault="00111391">
      <w:pPr>
        <w:spacing w:before="6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основу података </w:t>
      </w:r>
      <w:r>
        <w:rPr>
          <w:rFonts w:ascii="Times New Roman" w:eastAsia="Times New Roman" w:hAnsi="Times New Roman" w:cs="Times New Roman"/>
          <w:i/>
          <w:iCs/>
          <w:sz w:val="24"/>
          <w:szCs w:val="24"/>
        </w:rPr>
        <w:t>Пописа пољопривреде</w:t>
      </w:r>
      <w:r>
        <w:rPr>
          <w:rFonts w:ascii="Times New Roman" w:eastAsia="Times New Roman" w:hAnsi="Times New Roman" w:cs="Times New Roman"/>
          <w:sz w:val="24"/>
          <w:szCs w:val="24"/>
        </w:rPr>
        <w:t xml:space="preserve"> из 2012. године, у општини Врбас, ниво насеља од 3.289 укупног броја газдинства, тек 175 је обављало другу профитабилну активност (која није пољопривредна) или 5,32%, при чему је број газдинстава са учешћем ових прихода у укупним приходима 50 и више % је тек 18, што чини 0,54% од укупног броја пољопривредних газдинстава. На основу овог оцена је да је њихов број занемарљив. Овакав податак и данас 2021. године потврђују органи Општинске управе.</w:t>
      </w:r>
    </w:p>
    <w:p w14:paraId="0CB8A6D8"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7.2.1. Прерада пољопривредних производа</w:t>
      </w:r>
    </w:p>
    <w:p w14:paraId="22E5760D" w14:textId="77777777" w:rsidR="000A4214" w:rsidRDefault="00111391">
      <w:pPr>
        <w:spacing w:before="240" w:after="6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Подаци </w:t>
      </w:r>
      <w:r>
        <w:rPr>
          <w:rFonts w:ascii="Times New Roman" w:eastAsia="Times New Roman" w:hAnsi="Times New Roman" w:cs="Times New Roman"/>
          <w:i/>
          <w:iCs/>
          <w:sz w:val="24"/>
          <w:szCs w:val="24"/>
        </w:rPr>
        <w:t>Пописа пољопривреде 2012. године</w:t>
      </w:r>
      <w:r>
        <w:rPr>
          <w:rFonts w:ascii="Times New Roman" w:eastAsia="Times New Roman" w:hAnsi="Times New Roman" w:cs="Times New Roman"/>
          <w:sz w:val="24"/>
          <w:szCs w:val="24"/>
        </w:rPr>
        <w:t xml:space="preserve"> показују да прерадом пољопривредних производа се на територији општине Врбас бави укупно 116 пољопривредних газдинства, од чега:</w:t>
      </w:r>
    </w:p>
    <w:p w14:paraId="57EE926F" w14:textId="77777777" w:rsidR="000A4214" w:rsidRDefault="00111391">
      <w:pPr>
        <w:numPr>
          <w:ilvl w:val="0"/>
          <w:numId w:val="2"/>
        </w:numPr>
        <w:spacing w:before="60" w:after="60" w:line="240" w:lineRule="auto"/>
        <w:ind w:left="357"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Прерадом меса бави се 8 газдинстава. Нажалост, ни у једном насељу број газдинстава није већи од 5 тако да подаци у </w:t>
      </w:r>
      <w:r>
        <w:rPr>
          <w:rFonts w:ascii="Times New Roman" w:eastAsia="Times New Roman" w:hAnsi="Times New Roman" w:cs="Times New Roman"/>
          <w:i/>
          <w:iCs/>
          <w:sz w:val="24"/>
          <w:szCs w:val="24"/>
        </w:rPr>
        <w:t>Попису пољопривреде 2012. године</w:t>
      </w:r>
      <w:r>
        <w:rPr>
          <w:rFonts w:ascii="Times New Roman" w:eastAsia="Times New Roman" w:hAnsi="Times New Roman" w:cs="Times New Roman"/>
          <w:sz w:val="24"/>
          <w:szCs w:val="24"/>
        </w:rPr>
        <w:t xml:space="preserve"> немају прецизне податке о којим насељима је реч.</w:t>
      </w:r>
    </w:p>
    <w:p w14:paraId="767491A0" w14:textId="77777777" w:rsidR="000A4214" w:rsidRDefault="00111391">
      <w:pPr>
        <w:numPr>
          <w:ilvl w:val="0"/>
          <w:numId w:val="2"/>
        </w:numPr>
        <w:spacing w:before="60" w:after="60" w:line="240" w:lineRule="auto"/>
        <w:ind w:left="357"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Прерадом млека бави се укупно 85 газдинства. Највећи број је регистрован у Бачком Добром Пољу 20, затим следи Савино Село 19, Врбас са 14, Равно Село 12, Куцура 11 и Косанчић 6 газдинстава.</w:t>
      </w:r>
    </w:p>
    <w:p w14:paraId="71039724" w14:textId="77777777" w:rsidR="000A4214" w:rsidRDefault="00111391">
      <w:pPr>
        <w:numPr>
          <w:ilvl w:val="0"/>
          <w:numId w:val="2"/>
        </w:numPr>
        <w:spacing w:before="60" w:after="60" w:line="240" w:lineRule="auto"/>
        <w:ind w:left="357"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Прерадом воћа и поврћа бави се укупно18 газдинстава. Највећи број је регистрован у Врбасу 6, Бачком Добром Пољу 4 и Куцури 4.</w:t>
      </w:r>
    </w:p>
    <w:p w14:paraId="31CA2F33" w14:textId="77777777" w:rsidR="000A4214" w:rsidRDefault="00111391">
      <w:pPr>
        <w:numPr>
          <w:ilvl w:val="0"/>
          <w:numId w:val="2"/>
        </w:numPr>
        <w:spacing w:before="60" w:after="120" w:line="240" w:lineRule="auto"/>
        <w:ind w:left="357"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Прерадом других пољопривредних производана територији општине Врбас се бави укупно 7 газдинстава. Нажалост њихов број по насељима је мањи од 5 тако да статистички нису исказивани у </w:t>
      </w:r>
      <w:r>
        <w:rPr>
          <w:rFonts w:ascii="Times New Roman" w:eastAsia="Times New Roman" w:hAnsi="Times New Roman" w:cs="Times New Roman"/>
          <w:i/>
          <w:iCs/>
          <w:sz w:val="24"/>
          <w:szCs w:val="24"/>
        </w:rPr>
        <w:t>Попису пољопривреде 2012. године.</w:t>
      </w:r>
    </w:p>
    <w:p w14:paraId="34817964" w14:textId="77777777" w:rsidR="000A4214" w:rsidRDefault="00111391">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2021. години Општинска управа Врбаса и Регионална привредна комора не располажу егзактним подацима за делатност прераде пољопривредних производа. Истиче се да је реч о малом броју газдинстава који немају у већем обиму развијену прераду пољопривредних производа те отуда и одсуство података.</w:t>
      </w:r>
    </w:p>
    <w:p w14:paraId="661ABE34" w14:textId="77777777" w:rsidR="000A4214" w:rsidRDefault="00111391">
      <w:pPr>
        <w:spacing w:before="240" w:after="12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7.2.2. Развијеност руралног туризма и могућности унапређења постојећег стања у области туризма у општини Врбас</w:t>
      </w:r>
    </w:p>
    <w:p w14:paraId="2AFFB8AB" w14:textId="77777777" w:rsidR="000A4214" w:rsidRDefault="00111391">
      <w:pPr>
        <w:spacing w:before="6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основу података из </w:t>
      </w:r>
      <w:r>
        <w:rPr>
          <w:rFonts w:ascii="Times New Roman" w:eastAsia="Times New Roman" w:hAnsi="Times New Roman" w:cs="Times New Roman"/>
          <w:i/>
          <w:iCs/>
          <w:sz w:val="24"/>
          <w:szCs w:val="24"/>
        </w:rPr>
        <w:t>Пописа пољопривреде 2012. године</w:t>
      </w:r>
      <w:r>
        <w:rPr>
          <w:rFonts w:ascii="Times New Roman" w:eastAsia="Times New Roman" w:hAnsi="Times New Roman" w:cs="Times New Roman"/>
          <w:sz w:val="24"/>
          <w:szCs w:val="24"/>
        </w:rPr>
        <w:t xml:space="preserve"> на подручју општине Врбас није било регистрованих пољопривредних газдинстава која се баве руралним туризмом. Такође, оцена изнета у ранијој </w:t>
      </w:r>
      <w:r>
        <w:rPr>
          <w:rFonts w:ascii="Times New Roman" w:eastAsia="Times New Roman" w:hAnsi="Times New Roman" w:cs="Times New Roman"/>
          <w:i/>
          <w:iCs/>
          <w:sz w:val="24"/>
          <w:szCs w:val="24"/>
        </w:rPr>
        <w:t>Стратегији одрживог развоја општине Врбас 2014–2020. године</w:t>
      </w:r>
      <w:r>
        <w:rPr>
          <w:rFonts w:ascii="Times New Roman" w:eastAsia="Times New Roman" w:hAnsi="Times New Roman" w:cs="Times New Roman"/>
          <w:sz w:val="24"/>
          <w:szCs w:val="24"/>
        </w:rPr>
        <w:t xml:space="preserve"> је да и поред евидентно присутних респектабилних природних и друштвених (антропогених) ресурса, значајних за развој руралног туризма на територији општине, он није добио на значају.</w:t>
      </w:r>
    </w:p>
    <w:p w14:paraId="2F5C418D" w14:textId="77777777" w:rsidR="000A4214" w:rsidRDefault="00111391">
      <w:pPr>
        <w:spacing w:before="6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Међутим, данас на територији општине постоје сеоска газдинстава која се баве руралним туризмом, као што је сеоско туристичко домаћинство </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Панонска шкољка” Змајево и салаш </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Дорф” Равно Село. Поред ових газдинстава, од значаја за рурални туризам на територији општине Врбас, важно је поменути и Етно клуб </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Отето од заборава” који се налази у Куцури.</w:t>
      </w:r>
    </w:p>
    <w:p w14:paraId="014B985E" w14:textId="77777777" w:rsidR="000A4214" w:rsidRDefault="00111391">
      <w:pPr>
        <w:spacing w:before="6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Имајући у виду улогу и значај који рурални туризам може да има на укупан рурални развој, као и отклањање свих негативних последица са којима су иста оптерећена, о овој околности се у будућности мора водити више рачуна.</w:t>
      </w:r>
    </w:p>
    <w:p w14:paraId="4C20EEF7" w14:textId="77777777" w:rsidR="000A4214" w:rsidRDefault="00111391">
      <w:pPr>
        <w:spacing w:before="60"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Важно је нагласити да у поспешивању развоја руралног туризма поред приватних инвеститора важну улогу треба да одигра и Туристичка организација Војводине и Туристичка организација Врбаса. Задатак овакивих активности би био да се локално становништво упозна са предностима бављења истим.</w:t>
      </w:r>
    </w:p>
    <w:p w14:paraId="267C6901" w14:textId="77777777" w:rsidR="000A4214" w:rsidRDefault="00111391">
      <w:pPr>
        <w:spacing w:before="240" w:after="12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b/>
          <w:sz w:val="24"/>
          <w:szCs w:val="24"/>
        </w:rPr>
        <w:t>7.2.3. Остали видови других профитабилних активности пољопривредних газдинстава: народна радиност и стари занати, активности у шумарству и обрада дрвета, узгоj рибе за продају</w:t>
      </w:r>
    </w:p>
    <w:p w14:paraId="0DD50031" w14:textId="77777777" w:rsidR="000A4214" w:rsidRDefault="00111391">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Народна радиност – на основу података </w:t>
      </w:r>
      <w:r>
        <w:rPr>
          <w:rFonts w:ascii="Times New Roman" w:eastAsia="Times New Roman" w:hAnsi="Times New Roman" w:cs="Times New Roman"/>
          <w:i/>
          <w:iCs/>
          <w:sz w:val="24"/>
          <w:szCs w:val="24"/>
        </w:rPr>
        <w:t>Пописа пољопривреде 2012. године</w:t>
      </w:r>
      <w:r>
        <w:rPr>
          <w:rFonts w:ascii="Times New Roman" w:eastAsia="Times New Roman" w:hAnsi="Times New Roman" w:cs="Times New Roman"/>
          <w:sz w:val="24"/>
          <w:szCs w:val="24"/>
        </w:rPr>
        <w:t xml:space="preserve"> (ниво насеља) на територији општине Врбас није било породичних пољопривредних газдинстава која су се бавила овом активношћу. Активности народне радиности покрива рад Општинског центра за културу, помажући рад локалних удружења која се баве народном радиношћу.</w:t>
      </w:r>
    </w:p>
    <w:p w14:paraId="3F750D73" w14:textId="77777777" w:rsidR="000A4214" w:rsidRDefault="00111391">
      <w:pPr>
        <w:spacing w:before="6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Активности у шумарству и обрада дрвета – на основу података </w:t>
      </w:r>
      <w:r>
        <w:rPr>
          <w:rFonts w:ascii="Times New Roman" w:eastAsia="Times New Roman" w:hAnsi="Times New Roman" w:cs="Times New Roman"/>
          <w:i/>
          <w:iCs/>
          <w:sz w:val="24"/>
          <w:szCs w:val="24"/>
        </w:rPr>
        <w:t>Пописа пољопривреде 2012. године</w:t>
      </w:r>
      <w:r>
        <w:rPr>
          <w:rFonts w:ascii="Times New Roman" w:eastAsia="Times New Roman" w:hAnsi="Times New Roman" w:cs="Times New Roman"/>
          <w:sz w:val="24"/>
          <w:szCs w:val="24"/>
        </w:rPr>
        <w:t xml:space="preserve"> (ниво насеља) на територији општине Врбас нема регистрованих породичних пољопривредних газдинстава која се баве овим активностима.</w:t>
      </w:r>
    </w:p>
    <w:p w14:paraId="0891D0B8" w14:textId="77777777" w:rsidR="000A4214" w:rsidRDefault="00111391">
      <w:pPr>
        <w:spacing w:before="120"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lastRenderedPageBreak/>
        <w:t xml:space="preserve">Узгој рибе за продају – и поред природне локације општине на текућој води (ДТД), нису искоришћене ове погодности, тако да у </w:t>
      </w:r>
      <w:r>
        <w:rPr>
          <w:rFonts w:ascii="Times New Roman" w:eastAsia="Times New Roman" w:hAnsi="Times New Roman" w:cs="Times New Roman"/>
          <w:i/>
          <w:iCs/>
          <w:sz w:val="24"/>
          <w:szCs w:val="24"/>
        </w:rPr>
        <w:t>Попису пољопривреде 2012. године</w:t>
      </w:r>
      <w:r>
        <w:rPr>
          <w:rFonts w:ascii="Times New Roman" w:eastAsia="Times New Roman" w:hAnsi="Times New Roman" w:cs="Times New Roman"/>
          <w:sz w:val="24"/>
          <w:szCs w:val="24"/>
        </w:rPr>
        <w:t xml:space="preserve"> нема регистровних пољопривредних газдинства која се баве овом делатношћу.</w:t>
      </w:r>
    </w:p>
    <w:p w14:paraId="5D00D173"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Стари занати – на основу података </w:t>
      </w:r>
      <w:r>
        <w:rPr>
          <w:rFonts w:ascii="Times New Roman" w:eastAsia="Times New Roman" w:hAnsi="Times New Roman" w:cs="Times New Roman"/>
          <w:i/>
          <w:iCs/>
          <w:sz w:val="24"/>
          <w:szCs w:val="24"/>
        </w:rPr>
        <w:t xml:space="preserve">Пописа пољопривреде 2012. године </w:t>
      </w:r>
      <w:r>
        <w:rPr>
          <w:rFonts w:ascii="Times New Roman" w:eastAsia="Times New Roman" w:hAnsi="Times New Roman" w:cs="Times New Roman"/>
          <w:sz w:val="24"/>
          <w:szCs w:val="24"/>
        </w:rPr>
        <w:t>(ниво насеља) на територији општине Врбас није било оваквих облика активности, нити је било регистрованих занатских или еснафских удружења.</w:t>
      </w:r>
    </w:p>
    <w:p w14:paraId="037001DF" w14:textId="77777777" w:rsidR="000A4214" w:rsidRDefault="00111391">
      <w:pPr>
        <w:spacing w:before="240" w:after="12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 Мере подршке у сектору пољопривреде и руралног развоја на нивоу Општине</w:t>
      </w:r>
    </w:p>
    <w:p w14:paraId="7B047A5C" w14:textId="77777777" w:rsidR="000A4214" w:rsidRDefault="00111391">
      <w:pPr>
        <w:spacing w:before="12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Општина Врбас значајну пажњу посвећује пољопривреди и руралном развоју, најзначајније активности у 2020. и 2021. години су:</w:t>
      </w:r>
    </w:p>
    <w:p w14:paraId="75D71E05" w14:textId="77777777" w:rsidR="000A4214" w:rsidRDefault="00111391">
      <w:pPr>
        <w:numPr>
          <w:ilvl w:val="0"/>
          <w:numId w:val="3"/>
        </w:numPr>
        <w:spacing w:after="60" w:line="240" w:lineRule="auto"/>
        <w:ind w:left="357" w:hanging="3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Потписан меморандум о сарадњи између ГИЗ, </w:t>
      </w:r>
      <w:r>
        <w:rPr>
          <w:rFonts w:ascii="Liberation Serif" w:eastAsia="Liberation Serif" w:hAnsi="Liberation Serif" w:cs="Liberation Serif"/>
          <w:color w:val="000000"/>
          <w:sz w:val="24"/>
          <w:szCs w:val="24"/>
        </w:rPr>
        <w:t>„</w:t>
      </w:r>
      <w:r>
        <w:rPr>
          <w:rFonts w:ascii="Times New Roman" w:eastAsia="Times New Roman" w:hAnsi="Times New Roman" w:cs="Times New Roman"/>
          <w:color w:val="000000"/>
          <w:sz w:val="24"/>
          <w:szCs w:val="24"/>
        </w:rPr>
        <w:t>Telegroup</w:t>
      </w:r>
      <w:r>
        <w:rPr>
          <w:rFonts w:ascii="Liberation Serif" w:eastAsia="Liberation Serif" w:hAnsi="Liberation Serif" w:cs="Liberation Serif"/>
          <w:color w:val="000000"/>
          <w:sz w:val="24"/>
          <w:szCs w:val="24"/>
        </w:rPr>
        <w:t>”</w:t>
      </w:r>
      <w:r>
        <w:rPr>
          <w:rFonts w:ascii="Times New Roman" w:eastAsia="Times New Roman" w:hAnsi="Times New Roman" w:cs="Times New Roman"/>
          <w:color w:val="000000"/>
          <w:sz w:val="24"/>
          <w:szCs w:val="24"/>
        </w:rPr>
        <w:t xml:space="preserve"> доо Београд, Град Сомбор, Општина Врбас, Општина Инђија, Општина Бачка Топола и НАЛЕД. Предмет меморандума је реализација пројекта </w:t>
      </w:r>
      <w:r>
        <w:rPr>
          <w:rFonts w:ascii="Times New Roman" w:eastAsia="Times New Roman" w:hAnsi="Times New Roman" w:cs="Times New Roman"/>
          <w:i/>
          <w:iCs/>
          <w:color w:val="000000"/>
          <w:sz w:val="24"/>
          <w:szCs w:val="24"/>
        </w:rPr>
        <w:t>Дигитализација општинског управљања земљиштем</w:t>
      </w:r>
      <w:r>
        <w:rPr>
          <w:rFonts w:ascii="Times New Roman" w:eastAsia="Times New Roman" w:hAnsi="Times New Roman" w:cs="Times New Roman"/>
          <w:color w:val="000000"/>
          <w:sz w:val="24"/>
          <w:szCs w:val="24"/>
        </w:rPr>
        <w:t>, што подразумева унапређено дигитално управљање пољопривредним земљиштем кроз увођење иновативне инфраструктуре – 10 метеостаница и надоградња дигиталног решења</w:t>
      </w:r>
      <w:r>
        <w:rPr>
          <w:rFonts w:ascii="Times New Roman" w:eastAsia="Times New Roman" w:hAnsi="Times New Roman" w:cs="Times New Roman"/>
          <w:sz w:val="24"/>
          <w:szCs w:val="24"/>
        </w:rPr>
        <w:t xml:space="preserve"> (ГИЗ платформа – Agrolife).</w:t>
      </w:r>
    </w:p>
    <w:p w14:paraId="58A796BB" w14:textId="77777777" w:rsidR="000A4214" w:rsidRDefault="00111391">
      <w:pPr>
        <w:numPr>
          <w:ilvl w:val="0"/>
          <w:numId w:val="3"/>
        </w:numPr>
        <w:spacing w:after="60" w:line="240" w:lineRule="auto"/>
        <w:ind w:left="357" w:hanging="357"/>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Потписан Уговор о уређењу каналске мреже у функцији одводњавања пољопривредног земљишта на територији општине Врбас између Покрајине, Општине и ЈВП „Воде Војводине</w:t>
      </w:r>
      <w:r>
        <w:rPr>
          <w:rFonts w:ascii="Liberation Serif" w:eastAsia="Liberation Serif" w:hAnsi="Liberation Serif" w:cs="Liberation Serif"/>
          <w:color w:val="000000"/>
          <w:sz w:val="24"/>
          <w:szCs w:val="24"/>
          <w:highlight w:val="white"/>
        </w:rPr>
        <w:t>”</w:t>
      </w:r>
      <w:r>
        <w:rPr>
          <w:rFonts w:ascii="Times New Roman" w:eastAsia="Times New Roman" w:hAnsi="Times New Roman" w:cs="Times New Roman"/>
          <w:color w:val="000000"/>
          <w:sz w:val="24"/>
          <w:szCs w:val="24"/>
          <w:highlight w:val="white"/>
        </w:rPr>
        <w:t xml:space="preserve"> у катастарским општинама Змајево, Равно Село и Врбас.</w:t>
      </w:r>
    </w:p>
    <w:p w14:paraId="304E79F2" w14:textId="77777777" w:rsidR="000A4214" w:rsidRDefault="00111391">
      <w:pPr>
        <w:numPr>
          <w:ilvl w:val="0"/>
          <w:numId w:val="3"/>
        </w:numPr>
        <w:spacing w:after="60" w:line="240" w:lineRule="auto"/>
        <w:ind w:left="357" w:hanging="357"/>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Потписан Уговор са подручном ПСС који има за предмет контролу плодности пољопривредног земљишта, уз сваку анализу пољопривредном произвођачу се даје препорука за рационалну употребу минералних ђубрива. Општина Врбас бесплатно даје пољопривредним произвођачима наведене услуге.</w:t>
      </w:r>
    </w:p>
    <w:p w14:paraId="4DA915F9" w14:textId="77777777" w:rsidR="000A4214" w:rsidRDefault="00111391">
      <w:pPr>
        <w:numPr>
          <w:ilvl w:val="0"/>
          <w:numId w:val="3"/>
        </w:numPr>
        <w:spacing w:after="6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Потписан Уговор о уређењу атарских путева. Уређење атарских путева је предвиђено сваке године да се ради по 2 катастарске општине у дужини од по 1.000 м.</w:t>
      </w:r>
    </w:p>
    <w:p w14:paraId="6ABCE239" w14:textId="77777777" w:rsidR="000A4214" w:rsidRDefault="00111391">
      <w:pPr>
        <w:numPr>
          <w:ilvl w:val="0"/>
          <w:numId w:val="3"/>
        </w:numPr>
        <w:spacing w:after="60" w:line="24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Улагано је у опремање пољочуварске службе Јазипа.</w:t>
      </w:r>
    </w:p>
    <w:p w14:paraId="6B3F8CB5" w14:textId="77777777" w:rsidR="000A4214" w:rsidRDefault="00111391">
      <w:pPr>
        <w:spacing w:before="120" w:after="12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Приходи од закупа државног земљишта улажу се у одржавање атарских путева и опремање противградне станице.</w:t>
      </w:r>
    </w:p>
    <w:p w14:paraId="0005DA18" w14:textId="77777777" w:rsidR="000A4214" w:rsidRDefault="00111391">
      <w:pPr>
        <w:spacing w:before="120" w:after="12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Општина Врбас је једна од многобројних општина која доноси </w:t>
      </w:r>
      <w:r>
        <w:rPr>
          <w:rFonts w:ascii="Times New Roman" w:eastAsia="Times New Roman" w:hAnsi="Times New Roman" w:cs="Times New Roman"/>
          <w:sz w:val="24"/>
          <w:szCs w:val="24"/>
          <w:highlight w:val="white"/>
        </w:rPr>
        <w:t>Програм мера подршке за спровођење пољопривредне политике и политике руралног развоја.</w:t>
      </w:r>
    </w:p>
    <w:p w14:paraId="7B8C7234" w14:textId="77777777" w:rsidR="000A4214" w:rsidRDefault="00111391">
      <w:pPr>
        <w:spacing w:before="120" w:after="12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На основу члана 13. Закона о подстицајима у пољопривреди и руралном развоју (</w:t>
      </w:r>
      <w:r>
        <w:rPr>
          <w:rFonts w:ascii="Times New Roman" w:eastAsia="Times New Roman" w:hAnsi="Times New Roman" w:cs="Times New Roman"/>
          <w:i/>
          <w:iCs/>
          <w:sz w:val="24"/>
          <w:szCs w:val="24"/>
          <w:highlight w:val="white"/>
        </w:rPr>
        <w:t>Службени гласник</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i/>
          <w:iCs/>
          <w:sz w:val="24"/>
          <w:szCs w:val="24"/>
          <w:highlight w:val="white"/>
        </w:rPr>
        <w:t>РС</w:t>
      </w:r>
      <w:r>
        <w:rPr>
          <w:rFonts w:ascii="Times New Roman" w:eastAsia="Times New Roman" w:hAnsi="Times New Roman" w:cs="Times New Roman"/>
          <w:sz w:val="24"/>
          <w:szCs w:val="24"/>
          <w:highlight w:val="white"/>
        </w:rPr>
        <w:t>, бр. 10/13, 142/14, 103/15 и 101/16), Аутономним покрајинама и ЈЛС дато је право да утврђују мере подршке за спровођење пољопривредне политике за своје подручје. Средства за спровођење пољопривредне политике и политике руралног развоја морају бити обезбеђена у буџету Аутономне покрајине и ЈЛС.</w:t>
      </w:r>
    </w:p>
    <w:p w14:paraId="56062A87" w14:textId="77777777" w:rsidR="000A4214" w:rsidRDefault="00111391">
      <w:pPr>
        <w:shd w:val="clear" w:color="auto" w:fill="FFFFFF"/>
        <w:spacing w:after="120" w:line="240" w:lineRule="auto"/>
        <w:jc w:val="both"/>
        <w:rPr>
          <w:rFonts w:ascii="Helvetica Neue" w:eastAsia="Helvetica Neue" w:hAnsi="Helvetica Neue" w:cs="Helvetica Neue"/>
          <w:color w:val="1D2228"/>
          <w:sz w:val="20"/>
          <w:szCs w:val="20"/>
        </w:rPr>
      </w:pPr>
      <w:r>
        <w:rPr>
          <w:rFonts w:ascii="Times New Roman" w:eastAsia="Times New Roman" w:hAnsi="Times New Roman" w:cs="Times New Roman"/>
          <w:sz w:val="24"/>
          <w:szCs w:val="24"/>
        </w:rPr>
        <w:t>Тренутно се реализује једна мера подршке и то кр</w:t>
      </w:r>
      <w:r>
        <w:rPr>
          <w:rFonts w:ascii="Times New Roman" w:eastAsia="Times New Roman" w:hAnsi="Times New Roman" w:cs="Times New Roman"/>
          <w:color w:val="1D2228"/>
          <w:sz w:val="24"/>
          <w:szCs w:val="24"/>
        </w:rPr>
        <w:t xml:space="preserve">едитна подршка. У циљу реализације ове мере ЈЛС је потписала </w:t>
      </w:r>
      <w:r>
        <w:rPr>
          <w:rFonts w:ascii="Times New Roman" w:eastAsia="Times New Roman" w:hAnsi="Times New Roman" w:cs="Times New Roman"/>
          <w:sz w:val="24"/>
          <w:szCs w:val="24"/>
        </w:rPr>
        <w:t xml:space="preserve">Уговор о пословно техничкој сарадњи између </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Поштанске штедионице</w:t>
      </w:r>
      <w:r>
        <w:rPr>
          <w:rFonts w:ascii="Liberation Serif" w:eastAsia="Liberation Serif" w:hAnsi="Liberation Serif" w:cs="Liberation Serif"/>
          <w:sz w:val="24"/>
          <w:szCs w:val="24"/>
        </w:rPr>
        <w:t>”</w:t>
      </w:r>
      <w:r>
        <w:rPr>
          <w:rFonts w:ascii="Times New Roman" w:eastAsia="Times New Roman" w:hAnsi="Times New Roman" w:cs="Times New Roman"/>
          <w:sz w:val="24"/>
          <w:szCs w:val="24"/>
        </w:rPr>
        <w:t xml:space="preserve"> и Општине, који има за предмет субвенционисање накнаде за обраду кредита пољопривредним газдинствима.</w:t>
      </w:r>
    </w:p>
    <w:p w14:paraId="459A6B90" w14:textId="77777777" w:rsidR="000A4214" w:rsidRDefault="00111391">
      <w:pPr>
        <w:spacing w:before="120"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Износ средстава која су опредељена за субвенционисање пољопривреде и руралног развоја у општини Врбас износе 1.000.000 динара, а субвенције користи 20 пољопривредних газдинстава. План је да се износ средстава, као и број газдинстава која користе субвенције повећа у наредном периоду.</w:t>
      </w:r>
    </w:p>
    <w:p w14:paraId="501D4A14" w14:textId="77777777" w:rsidR="000A4214" w:rsidRDefault="00111391">
      <w:pPr>
        <w:spacing w:before="120" w:after="12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У општини Врбас постоји </w:t>
      </w:r>
      <w:r>
        <w:rPr>
          <w:rFonts w:ascii="Times New Roman" w:eastAsia="Times New Roman" w:hAnsi="Times New Roman" w:cs="Times New Roman"/>
          <w:sz w:val="24"/>
          <w:szCs w:val="24"/>
        </w:rPr>
        <w:t>Oдељење за пољопривреду</w:t>
      </w:r>
      <w:r>
        <w:rPr>
          <w:rFonts w:ascii="Times New Roman" w:eastAsia="Times New Roman" w:hAnsi="Times New Roman" w:cs="Times New Roman"/>
          <w:sz w:val="24"/>
          <w:szCs w:val="24"/>
          <w:highlight w:val="white"/>
        </w:rPr>
        <w:t xml:space="preserve"> које се бави питањима пољопривреде и руралног развоја. Такође, Општина комуницира са пољопривредним </w:t>
      </w:r>
      <w:r>
        <w:rPr>
          <w:rFonts w:ascii="Times New Roman" w:eastAsia="Times New Roman" w:hAnsi="Times New Roman" w:cs="Times New Roman"/>
          <w:sz w:val="24"/>
          <w:szCs w:val="24"/>
          <w:highlight w:val="white"/>
        </w:rPr>
        <w:lastRenderedPageBreak/>
        <w:t>произвођачима посредством интернет странице, медија, телефона, презентација, семинара, али и произвођачи међусобно доприносе даљем ширењу информација.</w:t>
      </w:r>
    </w:p>
    <w:p w14:paraId="0EAFC825" w14:textId="77777777" w:rsidR="000A4214" w:rsidRDefault="00111391">
      <w:pPr>
        <w:spacing w:before="120" w:after="120" w:line="240" w:lineRule="auto"/>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У општини Врбас постоји евиденција пољопривредних произвођача. Наведена евиденција би се додатно могла унапредити тако да обухвати све пољопривредне произвођаче на територији ЈЛС са основним подацима о производњи и електронским адресама и бројевима мобилних телефона. Даљим унапређењем већ постојеће базе података обезбедила би се ефикасна комуникација путем циркуларне електронске поште и/или СМС порука. Значајно је навести да је комуникација могућа и преко </w:t>
      </w:r>
      <w:r>
        <w:rPr>
          <w:rFonts w:ascii="Times New Roman" w:eastAsia="Times New Roman" w:hAnsi="Times New Roman" w:cs="Times New Roman"/>
          <w:sz w:val="24"/>
          <w:szCs w:val="24"/>
        </w:rPr>
        <w:t>ГИЗ платформе – Agrolifе, која је јавно доступна.</w:t>
      </w:r>
    </w:p>
    <w:p w14:paraId="089DF5FB" w14:textId="77777777" w:rsidR="000A4214" w:rsidRDefault="000A4214">
      <w:pPr>
        <w:rPr>
          <w:rFonts w:ascii="Times New Roman" w:eastAsia="Times New Roman" w:hAnsi="Times New Roman" w:cs="Times New Roman"/>
          <w:sz w:val="24"/>
          <w:szCs w:val="24"/>
        </w:rPr>
      </w:pPr>
    </w:p>
    <w:sectPr w:rsidR="000A4214">
      <w:footerReference w:type="default" r:id="rId17"/>
      <w:pgSz w:w="11906" w:h="16838"/>
      <w:pgMar w:top="1418" w:right="1418" w:bottom="1418" w:left="1418" w:header="0" w:footer="0" w:gutter="0"/>
      <w:pgNumType w:start="1"/>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389F7" w14:textId="77777777" w:rsidR="00A66E3C" w:rsidRDefault="00A66E3C">
      <w:pPr>
        <w:spacing w:after="0" w:line="240" w:lineRule="auto"/>
      </w:pPr>
      <w:r>
        <w:separator/>
      </w:r>
    </w:p>
  </w:endnote>
  <w:endnote w:type="continuationSeparator" w:id="0">
    <w:p w14:paraId="70866845" w14:textId="77777777" w:rsidR="00A66E3C" w:rsidRDefault="00A66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1"/>
    <w:family w:val="roman"/>
    <w:pitch w:val="default"/>
  </w:font>
  <w:font w:name="Times">
    <w:altName w:val="Times New Roman"/>
    <w:panose1 w:val="02020603050405020304"/>
    <w:charset w:val="00"/>
    <w:family w:val="roman"/>
    <w:pitch w:val="variable"/>
  </w:font>
  <w:font w:name="Helvetica Neue">
    <w:altName w:val="Arial"/>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2770279"/>
      <w:docPartObj>
        <w:docPartGallery w:val="Page Numbers (Bottom of Page)"/>
        <w:docPartUnique/>
      </w:docPartObj>
    </w:sdtPr>
    <w:sdtEndPr>
      <w:rPr>
        <w:noProof/>
      </w:rPr>
    </w:sdtEndPr>
    <w:sdtContent>
      <w:p w14:paraId="663915FA" w14:textId="121F1802" w:rsidR="00491493" w:rsidRDefault="0049149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FA4DB1" w14:textId="77777777" w:rsidR="00491493" w:rsidRDefault="00491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DF894" w14:textId="77777777" w:rsidR="00A66E3C" w:rsidRDefault="00A66E3C">
      <w:pPr>
        <w:rPr>
          <w:sz w:val="12"/>
        </w:rPr>
      </w:pPr>
      <w:r>
        <w:separator/>
      </w:r>
    </w:p>
  </w:footnote>
  <w:footnote w:type="continuationSeparator" w:id="0">
    <w:p w14:paraId="4F503F76" w14:textId="77777777" w:rsidR="00A66E3C" w:rsidRDefault="00A66E3C">
      <w:pPr>
        <w:rPr>
          <w:sz w:val="12"/>
        </w:rPr>
      </w:pPr>
      <w:r>
        <w:continuationSeparator/>
      </w:r>
    </w:p>
  </w:footnote>
  <w:footnote w:id="1">
    <w:p w14:paraId="48719563" w14:textId="77777777" w:rsidR="000A4214" w:rsidRDefault="00111391">
      <w:pPr>
        <w:spacing w:after="0" w:line="240" w:lineRule="auto"/>
        <w:jc w:val="both"/>
        <w:rPr>
          <w:rFonts w:ascii="Times New Roman" w:eastAsia="Times New Roman" w:hAnsi="Times New Roman" w:cs="Times New Roman"/>
          <w:sz w:val="20"/>
          <w:szCs w:val="20"/>
        </w:rPr>
      </w:pPr>
      <w:r>
        <w:rPr>
          <w:rStyle w:val="FootnoteCharacters"/>
        </w:rPr>
        <w:footnoteRef/>
      </w:r>
      <w:r>
        <w:rPr>
          <w:rFonts w:ascii="Times New Roman" w:eastAsia="Times New Roman" w:hAnsi="Times New Roman" w:cs="Times New Roman"/>
          <w:sz w:val="20"/>
          <w:szCs w:val="20"/>
        </w:rPr>
        <w:t xml:space="preserve"> Како РЗС не располаже с подацима за све показатеље за ППГ, а да на нивоу општине Врбас ППГ чине 99,3% укупног броја ПГ, код неких показатеља су приказани подаци за укупан број ПГ.</w:t>
      </w:r>
    </w:p>
  </w:footnote>
  <w:footnote w:id="2">
    <w:p w14:paraId="487CD2E7" w14:textId="77777777" w:rsidR="000A4214" w:rsidRDefault="00111391">
      <w:pPr>
        <w:spacing w:after="0" w:line="240" w:lineRule="auto"/>
        <w:jc w:val="both"/>
        <w:rPr>
          <w:rFonts w:ascii="Times New Roman" w:eastAsia="Times New Roman" w:hAnsi="Times New Roman" w:cs="Times New Roman"/>
          <w:sz w:val="20"/>
          <w:szCs w:val="20"/>
        </w:rPr>
      </w:pPr>
      <w:r>
        <w:rPr>
          <w:rStyle w:val="FootnoteCharacters"/>
        </w:rPr>
        <w:footnoteRef/>
      </w:r>
      <w:r>
        <w:rPr>
          <w:rFonts w:ascii="Times New Roman" w:eastAsia="Times New Roman" w:hAnsi="Times New Roman" w:cs="Times New Roman"/>
          <w:sz w:val="20"/>
          <w:szCs w:val="20"/>
        </w:rPr>
        <w:t xml:space="preserve"> Иако је упис пољопривредних произвођача у РПГ, који води Управа за аграрна плаћања Р. Србије добровољан, бесплатан и није везан за рок, само регистровани произвођачи у овом Регистру могу користити средства намењена за премије, субвенције и кредитирање који се исплаћују из буџетских средстава.</w:t>
      </w:r>
    </w:p>
  </w:footnote>
  <w:footnote w:id="3">
    <w:p w14:paraId="77B3BCE2" w14:textId="77777777" w:rsidR="000A4214" w:rsidRDefault="00111391">
      <w:pPr>
        <w:spacing w:after="0" w:line="240" w:lineRule="auto"/>
        <w:jc w:val="both"/>
        <w:rPr>
          <w:rFonts w:ascii="Times New Roman" w:eastAsia="Times New Roman" w:hAnsi="Times New Roman" w:cs="Times New Roman"/>
          <w:color w:val="000000"/>
          <w:sz w:val="20"/>
          <w:szCs w:val="20"/>
        </w:rPr>
      </w:pPr>
      <w:r>
        <w:rPr>
          <w:rStyle w:val="FootnoteCharacters"/>
        </w:rPr>
        <w:footnoteRef/>
      </w:r>
      <w:r>
        <w:rPr>
          <w:rFonts w:ascii="Times New Roman" w:eastAsia="Times New Roman" w:hAnsi="Times New Roman" w:cs="Times New Roman"/>
          <w:color w:val="000000"/>
          <w:sz w:val="20"/>
          <w:szCs w:val="20"/>
        </w:rPr>
        <w:t xml:space="preserve"> Публикација </w:t>
      </w:r>
      <w:r>
        <w:rPr>
          <w:rFonts w:ascii="Times New Roman" w:eastAsia="Times New Roman" w:hAnsi="Times New Roman" w:cs="Times New Roman"/>
          <w:i/>
          <w:iCs/>
          <w:color w:val="000000"/>
          <w:sz w:val="20"/>
          <w:szCs w:val="20"/>
        </w:rPr>
        <w:t>Општине и региони у Србији 2020 година</w:t>
      </w:r>
      <w:r>
        <w:rPr>
          <w:rFonts w:ascii="Times New Roman" w:eastAsia="Times New Roman" w:hAnsi="Times New Roman" w:cs="Times New Roman"/>
          <w:color w:val="000000"/>
          <w:sz w:val="20"/>
          <w:szCs w:val="20"/>
        </w:rPr>
        <w:t>, РЗС.</w:t>
      </w:r>
    </w:p>
  </w:footnote>
  <w:footnote w:id="4">
    <w:p w14:paraId="4562298E" w14:textId="77777777" w:rsidR="000A4214" w:rsidRDefault="00111391">
      <w:pPr>
        <w:spacing w:after="0" w:line="240" w:lineRule="auto"/>
        <w:rPr>
          <w:color w:val="000000"/>
          <w:sz w:val="20"/>
          <w:szCs w:val="20"/>
        </w:rPr>
      </w:pPr>
      <w:r>
        <w:rPr>
          <w:rStyle w:val="FootnoteCharacters"/>
        </w:rPr>
        <w:footnoteRef/>
      </w:r>
      <w:r>
        <w:rPr>
          <w:rFonts w:ascii="Times New Roman" w:eastAsia="Times New Roman" w:hAnsi="Times New Roman" w:cs="Times New Roman"/>
          <w:color w:val="000000"/>
          <w:sz w:val="20"/>
          <w:szCs w:val="20"/>
        </w:rPr>
        <w:t xml:space="preserve"> Критеријуми ОЕЦД-а.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700D5"/>
    <w:multiLevelType w:val="multilevel"/>
    <w:tmpl w:val="412A61A4"/>
    <w:lvl w:ilvl="0">
      <w:start w:val="1"/>
      <w:numFmt w:val="bullet"/>
      <w:lvlText w:val="−"/>
      <w:lvlJc w:val="left"/>
      <w:pPr>
        <w:tabs>
          <w:tab w:val="num" w:pos="0"/>
        </w:tabs>
        <w:ind w:left="6" w:hanging="360"/>
      </w:pPr>
      <w:rPr>
        <w:rFonts w:ascii="Noto Sans Symbols" w:hAnsi="Noto Sans Symbols" w:cs="Noto Sans Symbols" w:hint="default"/>
      </w:rPr>
    </w:lvl>
    <w:lvl w:ilvl="1">
      <w:start w:val="1"/>
      <w:numFmt w:val="bullet"/>
      <w:lvlText w:val="o"/>
      <w:lvlJc w:val="left"/>
      <w:pPr>
        <w:tabs>
          <w:tab w:val="num" w:pos="0"/>
        </w:tabs>
        <w:ind w:left="726" w:hanging="360"/>
      </w:pPr>
      <w:rPr>
        <w:rFonts w:ascii="Courier New" w:hAnsi="Courier New" w:cs="Courier New" w:hint="default"/>
      </w:rPr>
    </w:lvl>
    <w:lvl w:ilvl="2">
      <w:start w:val="1"/>
      <w:numFmt w:val="bullet"/>
      <w:lvlText w:val="▪"/>
      <w:lvlJc w:val="left"/>
      <w:pPr>
        <w:tabs>
          <w:tab w:val="num" w:pos="0"/>
        </w:tabs>
        <w:ind w:left="1446" w:hanging="360"/>
      </w:pPr>
      <w:rPr>
        <w:rFonts w:ascii="Noto Sans Symbols" w:hAnsi="Noto Sans Symbols" w:cs="Noto Sans Symbols" w:hint="default"/>
      </w:rPr>
    </w:lvl>
    <w:lvl w:ilvl="3">
      <w:start w:val="1"/>
      <w:numFmt w:val="bullet"/>
      <w:lvlText w:val="●"/>
      <w:lvlJc w:val="left"/>
      <w:pPr>
        <w:tabs>
          <w:tab w:val="num" w:pos="0"/>
        </w:tabs>
        <w:ind w:left="2166" w:hanging="360"/>
      </w:pPr>
      <w:rPr>
        <w:rFonts w:ascii="Noto Sans Symbols" w:hAnsi="Noto Sans Symbols" w:cs="Noto Sans Symbols" w:hint="default"/>
      </w:rPr>
    </w:lvl>
    <w:lvl w:ilvl="4">
      <w:start w:val="1"/>
      <w:numFmt w:val="bullet"/>
      <w:lvlText w:val="o"/>
      <w:lvlJc w:val="left"/>
      <w:pPr>
        <w:tabs>
          <w:tab w:val="num" w:pos="0"/>
        </w:tabs>
        <w:ind w:left="2886" w:hanging="360"/>
      </w:pPr>
      <w:rPr>
        <w:rFonts w:ascii="Courier New" w:hAnsi="Courier New" w:cs="Courier New" w:hint="default"/>
      </w:rPr>
    </w:lvl>
    <w:lvl w:ilvl="5">
      <w:start w:val="1"/>
      <w:numFmt w:val="bullet"/>
      <w:lvlText w:val="▪"/>
      <w:lvlJc w:val="left"/>
      <w:pPr>
        <w:tabs>
          <w:tab w:val="num" w:pos="0"/>
        </w:tabs>
        <w:ind w:left="3606" w:hanging="360"/>
      </w:pPr>
      <w:rPr>
        <w:rFonts w:ascii="Noto Sans Symbols" w:hAnsi="Noto Sans Symbols" w:cs="Noto Sans Symbols" w:hint="default"/>
      </w:rPr>
    </w:lvl>
    <w:lvl w:ilvl="6">
      <w:start w:val="1"/>
      <w:numFmt w:val="bullet"/>
      <w:lvlText w:val="●"/>
      <w:lvlJc w:val="left"/>
      <w:pPr>
        <w:tabs>
          <w:tab w:val="num" w:pos="0"/>
        </w:tabs>
        <w:ind w:left="4326" w:hanging="360"/>
      </w:pPr>
      <w:rPr>
        <w:rFonts w:ascii="Noto Sans Symbols" w:hAnsi="Noto Sans Symbols" w:cs="Noto Sans Symbols" w:hint="default"/>
      </w:rPr>
    </w:lvl>
    <w:lvl w:ilvl="7">
      <w:start w:val="1"/>
      <w:numFmt w:val="bullet"/>
      <w:lvlText w:val="o"/>
      <w:lvlJc w:val="left"/>
      <w:pPr>
        <w:tabs>
          <w:tab w:val="num" w:pos="0"/>
        </w:tabs>
        <w:ind w:left="5046" w:hanging="360"/>
      </w:pPr>
      <w:rPr>
        <w:rFonts w:ascii="Courier New" w:hAnsi="Courier New" w:cs="Courier New" w:hint="default"/>
      </w:rPr>
    </w:lvl>
    <w:lvl w:ilvl="8">
      <w:start w:val="1"/>
      <w:numFmt w:val="bullet"/>
      <w:lvlText w:val="▪"/>
      <w:lvlJc w:val="left"/>
      <w:pPr>
        <w:tabs>
          <w:tab w:val="num" w:pos="0"/>
        </w:tabs>
        <w:ind w:left="5766" w:hanging="360"/>
      </w:pPr>
      <w:rPr>
        <w:rFonts w:ascii="Noto Sans Symbols" w:hAnsi="Noto Sans Symbols" w:cs="Noto Sans Symbols" w:hint="default"/>
      </w:rPr>
    </w:lvl>
  </w:abstractNum>
  <w:abstractNum w:abstractNumId="1" w15:restartNumberingAfterBreak="0">
    <w:nsid w:val="273A27E4"/>
    <w:multiLevelType w:val="multilevel"/>
    <w:tmpl w:val="38FEE44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15:restartNumberingAfterBreak="0">
    <w:nsid w:val="2EB5228F"/>
    <w:multiLevelType w:val="multilevel"/>
    <w:tmpl w:val="1020107A"/>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3" w15:restartNumberingAfterBreak="0">
    <w:nsid w:val="40F82DE3"/>
    <w:multiLevelType w:val="multilevel"/>
    <w:tmpl w:val="469C42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BF12CF4"/>
    <w:multiLevelType w:val="multilevel"/>
    <w:tmpl w:val="7042F86E"/>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5" w15:restartNumberingAfterBreak="0">
    <w:nsid w:val="670C09E9"/>
    <w:multiLevelType w:val="multilevel"/>
    <w:tmpl w:val="AA60D10C"/>
    <w:lvl w:ilvl="0">
      <w:start w:val="1"/>
      <w:numFmt w:val="bullet"/>
      <w:lvlText w:val="-"/>
      <w:lvlJc w:val="left"/>
      <w:pPr>
        <w:tabs>
          <w:tab w:val="num" w:pos="0"/>
        </w:tabs>
        <w:ind w:left="360" w:hanging="360"/>
      </w:pPr>
      <w:rPr>
        <w:rFonts w:ascii="Arial" w:hAnsi="Arial" w:cs="Arial" w:hint="default"/>
        <w:color w:val="00000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num w:numId="1" w16cid:durableId="1047267122">
    <w:abstractNumId w:val="5"/>
  </w:num>
  <w:num w:numId="2" w16cid:durableId="619645896">
    <w:abstractNumId w:val="2"/>
  </w:num>
  <w:num w:numId="3" w16cid:durableId="1557929045">
    <w:abstractNumId w:val="4"/>
  </w:num>
  <w:num w:numId="4" w16cid:durableId="1325620246">
    <w:abstractNumId w:val="0"/>
  </w:num>
  <w:num w:numId="5" w16cid:durableId="1398748309">
    <w:abstractNumId w:val="1"/>
  </w:num>
  <w:num w:numId="6" w16cid:durableId="11220741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14"/>
    <w:rsid w:val="000A4214"/>
    <w:rsid w:val="00111391"/>
    <w:rsid w:val="00491493"/>
    <w:rsid w:val="007A7A48"/>
    <w:rsid w:val="00844C1F"/>
    <w:rsid w:val="00A66E3C"/>
    <w:rsid w:val="00A66E7D"/>
    <w:rsid w:val="00C06A21"/>
  </w:rsids>
  <m:mathPr>
    <m:mathFont m:val="Cambria Math"/>
    <m:brkBin m:val="before"/>
    <m:brkBinSub m:val="--"/>
    <m:smallFrac m:val="0"/>
    <m:dispDef/>
    <m:lMargin m:val="0"/>
    <m:rMargin m:val="0"/>
    <m:defJc m:val="centerGroup"/>
    <m:wrapIndent m:val="1440"/>
    <m:intLim m:val="subSup"/>
    <m:naryLim m:val="undOvr"/>
  </m:mathPr>
  <w:themeFontLang w:val="sr-Latn-R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269C"/>
  <w15:docId w15:val="{58CBDEEE-F2E4-478C-A070-47D1E115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sr-Latn-R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830"/>
    <w:pPr>
      <w:spacing w:after="200" w:line="276" w:lineRule="auto"/>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C76EFB"/>
    <w:rPr>
      <w:rFonts w:eastAsiaTheme="minorHAnsi"/>
    </w:rPr>
  </w:style>
  <w:style w:type="character" w:customStyle="1" w:styleId="BalloonTextChar">
    <w:name w:val="Balloon Text Char"/>
    <w:basedOn w:val="DefaultParagraphFont"/>
    <w:link w:val="BalloonText"/>
    <w:uiPriority w:val="99"/>
    <w:semiHidden/>
    <w:qFormat/>
    <w:rsid w:val="00C76EFB"/>
    <w:rPr>
      <w:rFonts w:ascii="Tahoma" w:hAnsi="Tahoma" w:cs="Tahoma"/>
      <w:sz w:val="16"/>
      <w:szCs w:val="16"/>
    </w:rPr>
  </w:style>
  <w:style w:type="character" w:styleId="Hyperlink">
    <w:name w:val="Hyperlink"/>
    <w:basedOn w:val="DefaultParagraphFont"/>
    <w:uiPriority w:val="99"/>
    <w:unhideWhenUsed/>
    <w:rsid w:val="009849F8"/>
    <w:rPr>
      <w:color w:val="0000FF" w:themeColor="hyperlink"/>
      <w:u w:val="single"/>
    </w:rPr>
  </w:style>
  <w:style w:type="character" w:styleId="Strong">
    <w:name w:val="Strong"/>
    <w:basedOn w:val="DefaultParagraphFont"/>
    <w:uiPriority w:val="22"/>
    <w:qFormat/>
    <w:rsid w:val="00EA0049"/>
    <w:rPr>
      <w:b/>
      <w:bCs/>
    </w:rPr>
  </w:style>
  <w:style w:type="character" w:customStyle="1" w:styleId="FootnoteCharacters">
    <w:name w:val="Footnote Characters"/>
    <w:unhideWhenUsed/>
    <w:qFormat/>
    <w:rsid w:val="00A82E57"/>
    <w:rPr>
      <w:vertAlign w:val="superscript"/>
    </w:rPr>
  </w:style>
  <w:style w:type="character" w:customStyle="1" w:styleId="FootnoteAnchor">
    <w:name w:val="Footnote Anchor"/>
    <w:rPr>
      <w:vertAlign w:val="superscript"/>
    </w:rPr>
  </w:style>
  <w:style w:type="character" w:customStyle="1" w:styleId="FootnoteTextChar">
    <w:name w:val="Footnote Text Char"/>
    <w:basedOn w:val="DefaultParagraphFont"/>
    <w:link w:val="FootnoteText"/>
    <w:uiPriority w:val="99"/>
    <w:qFormat/>
    <w:rsid w:val="00F12A7E"/>
    <w:rPr>
      <w:rFonts w:eastAsiaTheme="minorHAnsi"/>
      <w:sz w:val="20"/>
      <w:szCs w:val="20"/>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C76EFB"/>
    <w:pPr>
      <w:ind w:left="720"/>
      <w:contextualSpacing/>
    </w:pPr>
    <w:rPr>
      <w:rFonts w:eastAsiaTheme="minorHAnsi"/>
    </w:rPr>
  </w:style>
  <w:style w:type="paragraph" w:styleId="BalloonText">
    <w:name w:val="Balloon Text"/>
    <w:basedOn w:val="Normal"/>
    <w:link w:val="BalloonTextChar"/>
    <w:uiPriority w:val="99"/>
    <w:semiHidden/>
    <w:unhideWhenUsed/>
    <w:qFormat/>
    <w:rsid w:val="00C76EFB"/>
    <w:pPr>
      <w:spacing w:after="0" w:line="240" w:lineRule="auto"/>
    </w:pPr>
    <w:rPr>
      <w:rFonts w:ascii="Tahoma" w:hAnsi="Tahoma" w:cs="Tahoma"/>
      <w:sz w:val="16"/>
      <w:szCs w:val="16"/>
    </w:rPr>
  </w:style>
  <w:style w:type="paragraph" w:styleId="NormalWeb">
    <w:name w:val="Normal (Web)"/>
    <w:basedOn w:val="Normal"/>
    <w:uiPriority w:val="99"/>
    <w:semiHidden/>
    <w:unhideWhenUsed/>
    <w:qFormat/>
    <w:rsid w:val="009849F8"/>
    <w:pPr>
      <w:spacing w:beforeAutospacing="1"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F12A7E"/>
    <w:pPr>
      <w:spacing w:after="0" w:line="240" w:lineRule="auto"/>
    </w:pPr>
    <w:rPr>
      <w:rFonts w:eastAsiaTheme="minorHAnsi"/>
      <w:sz w:val="20"/>
      <w:szCs w:val="20"/>
    </w:rPr>
  </w:style>
  <w:style w:type="paragraph" w:customStyle="1" w:styleId="Default">
    <w:name w:val="Default"/>
    <w:qFormat/>
    <w:rsid w:val="007E7870"/>
    <w:rPr>
      <w:rFonts w:ascii="Arial" w:eastAsiaTheme="minorHAnsi" w:hAnsi="Arial" w:cs="Arial"/>
      <w:color w:val="000000"/>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59"/>
    <w:rsid w:val="00C76EF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EA0049"/>
    <w:rPr>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A82E57"/>
    <w:rPr>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14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493"/>
  </w:style>
  <w:style w:type="paragraph" w:styleId="Footer">
    <w:name w:val="footer"/>
    <w:basedOn w:val="Normal"/>
    <w:link w:val="FooterChar"/>
    <w:uiPriority w:val="99"/>
    <w:unhideWhenUsed/>
    <w:rsid w:val="004914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od2.stat.gov.rs/ObjavljenePublikacije/Popis2011/Knjiga20.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yperlink" Target="http://popispoljoprivrede.stat.rs/?page_id=6221"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autoTitleDeleted val="1"/>
    <c:plotArea>
      <c:layout/>
      <c:pieChart>
        <c:varyColors val="1"/>
        <c:ser>
          <c:idx val="0"/>
          <c:order val="0"/>
          <c:tx>
            <c:strRef>
              <c:f>label 0</c:f>
              <c:strCache>
                <c:ptCount val="1"/>
                <c:pt idx="0">
                  <c:v>Series1</c:v>
                </c:pt>
              </c:strCache>
            </c:strRef>
          </c:tx>
          <c:spPr>
            <a:solidFill>
              <a:srgbClr val="4F81BD"/>
            </a:solidFill>
            <a:ln w="0">
              <a:noFill/>
            </a:ln>
          </c:spPr>
          <c:dPt>
            <c:idx val="0"/>
            <c:bubble3D val="0"/>
            <c:extLst>
              <c:ext xmlns:c16="http://schemas.microsoft.com/office/drawing/2014/chart" uri="{C3380CC4-5D6E-409C-BE32-E72D297353CC}">
                <c16:uniqueId val="{00000001-1F71-4833-9A2F-6C4E8F78FF2B}"/>
              </c:ext>
            </c:extLst>
          </c:dPt>
          <c:dPt>
            <c:idx val="1"/>
            <c:bubble3D val="0"/>
            <c:spPr>
              <a:solidFill>
                <a:srgbClr val="C0504D"/>
              </a:solidFill>
              <a:ln w="0">
                <a:noFill/>
              </a:ln>
            </c:spPr>
            <c:extLst>
              <c:ext xmlns:c16="http://schemas.microsoft.com/office/drawing/2014/chart" uri="{C3380CC4-5D6E-409C-BE32-E72D297353CC}">
                <c16:uniqueId val="{00000003-1F71-4833-9A2F-6C4E8F78FF2B}"/>
              </c:ext>
            </c:extLst>
          </c:dPt>
          <c:dPt>
            <c:idx val="2"/>
            <c:bubble3D val="0"/>
            <c:spPr>
              <a:solidFill>
                <a:srgbClr val="9BBB59"/>
              </a:solidFill>
              <a:ln w="0">
                <a:noFill/>
              </a:ln>
            </c:spPr>
            <c:extLst>
              <c:ext xmlns:c16="http://schemas.microsoft.com/office/drawing/2014/chart" uri="{C3380CC4-5D6E-409C-BE32-E72D297353CC}">
                <c16:uniqueId val="{00000005-1F71-4833-9A2F-6C4E8F78FF2B}"/>
              </c:ext>
            </c:extLst>
          </c:dPt>
          <c:dPt>
            <c:idx val="3"/>
            <c:bubble3D val="0"/>
            <c:spPr>
              <a:solidFill>
                <a:srgbClr val="8064A2"/>
              </a:solidFill>
              <a:ln w="0">
                <a:noFill/>
              </a:ln>
            </c:spPr>
            <c:extLst>
              <c:ext xmlns:c16="http://schemas.microsoft.com/office/drawing/2014/chart" uri="{C3380CC4-5D6E-409C-BE32-E72D297353CC}">
                <c16:uniqueId val="{00000007-1F71-4833-9A2F-6C4E8F78FF2B}"/>
              </c:ext>
            </c:extLst>
          </c:dPt>
          <c:dPt>
            <c:idx val="4"/>
            <c:bubble3D val="0"/>
            <c:spPr>
              <a:solidFill>
                <a:srgbClr val="4BACC6"/>
              </a:solidFill>
              <a:ln w="0">
                <a:noFill/>
              </a:ln>
            </c:spPr>
            <c:extLst>
              <c:ext xmlns:c16="http://schemas.microsoft.com/office/drawing/2014/chart" uri="{C3380CC4-5D6E-409C-BE32-E72D297353CC}">
                <c16:uniqueId val="{00000009-1F71-4833-9A2F-6C4E8F78FF2B}"/>
              </c:ext>
            </c:extLst>
          </c:dPt>
          <c:dLbls>
            <c:dLbl>
              <c:idx val="0"/>
              <c:spPr/>
              <c:txPr>
                <a:bodyPr wrap="square"/>
                <a:lstStyle/>
                <a:p>
                  <a:pPr>
                    <a:defRPr sz="1000" b="1" strike="noStrike" spc="-1">
                      <a:solidFill>
                        <a:srgbClr val="000000"/>
                      </a:solidFill>
                      <a:latin typeface="Times New Roman"/>
                    </a:defRPr>
                  </a:pPr>
                  <a:endParaRPr lang="sr-Latn-RS"/>
                </a:p>
              </c:txPr>
              <c:dLblPos val="inEnd"/>
              <c:showLegendKey val="0"/>
              <c:showVal val="0"/>
              <c:showCatName val="0"/>
              <c:showSerName val="0"/>
              <c:showPercent val="1"/>
              <c:showBubbleSize val="1"/>
              <c:extLst>
                <c:ext xmlns:c15="http://schemas.microsoft.com/office/drawing/2012/chart" uri="{CE6537A1-D6FC-4f65-9D91-7224C49458BB}"/>
                <c:ext xmlns:c16="http://schemas.microsoft.com/office/drawing/2014/chart" uri="{C3380CC4-5D6E-409C-BE32-E72D297353CC}">
                  <c16:uniqueId val="{00000001-1F71-4833-9A2F-6C4E8F78FF2B}"/>
                </c:ext>
              </c:extLst>
            </c:dLbl>
            <c:dLbl>
              <c:idx val="1"/>
              <c:spPr/>
              <c:txPr>
                <a:bodyPr wrap="square"/>
                <a:lstStyle/>
                <a:p>
                  <a:pPr>
                    <a:defRPr sz="1000" b="1" strike="noStrike" spc="-1">
                      <a:solidFill>
                        <a:srgbClr val="000000"/>
                      </a:solidFill>
                      <a:latin typeface="Times New Roman"/>
                    </a:defRPr>
                  </a:pPr>
                  <a:endParaRPr lang="sr-Latn-RS"/>
                </a:p>
              </c:txPr>
              <c:dLblPos val="inEnd"/>
              <c:showLegendKey val="0"/>
              <c:showVal val="0"/>
              <c:showCatName val="0"/>
              <c:showSerName val="0"/>
              <c:showPercent val="1"/>
              <c:showBubbleSize val="1"/>
              <c:extLst>
                <c:ext xmlns:c15="http://schemas.microsoft.com/office/drawing/2012/chart" uri="{CE6537A1-D6FC-4f65-9D91-7224C49458BB}"/>
                <c:ext xmlns:c16="http://schemas.microsoft.com/office/drawing/2014/chart" uri="{C3380CC4-5D6E-409C-BE32-E72D297353CC}">
                  <c16:uniqueId val="{00000003-1F71-4833-9A2F-6C4E8F78FF2B}"/>
                </c:ext>
              </c:extLst>
            </c:dLbl>
            <c:dLbl>
              <c:idx val="2"/>
              <c:spPr/>
              <c:txPr>
                <a:bodyPr wrap="square"/>
                <a:lstStyle/>
                <a:p>
                  <a:pPr>
                    <a:defRPr sz="1000" b="1" strike="noStrike" spc="-1">
                      <a:solidFill>
                        <a:srgbClr val="000000"/>
                      </a:solidFill>
                      <a:latin typeface="Times New Roman"/>
                    </a:defRPr>
                  </a:pPr>
                  <a:endParaRPr lang="sr-Latn-RS"/>
                </a:p>
              </c:txPr>
              <c:dLblPos val="inEnd"/>
              <c:showLegendKey val="0"/>
              <c:showVal val="0"/>
              <c:showCatName val="0"/>
              <c:showSerName val="0"/>
              <c:showPercent val="1"/>
              <c:showBubbleSize val="1"/>
              <c:extLst>
                <c:ext xmlns:c15="http://schemas.microsoft.com/office/drawing/2012/chart" uri="{CE6537A1-D6FC-4f65-9D91-7224C49458BB}"/>
                <c:ext xmlns:c16="http://schemas.microsoft.com/office/drawing/2014/chart" uri="{C3380CC4-5D6E-409C-BE32-E72D297353CC}">
                  <c16:uniqueId val="{00000005-1F71-4833-9A2F-6C4E8F78FF2B}"/>
                </c:ext>
              </c:extLst>
            </c:dLbl>
            <c:dLbl>
              <c:idx val="3"/>
              <c:spPr/>
              <c:txPr>
                <a:bodyPr wrap="square"/>
                <a:lstStyle/>
                <a:p>
                  <a:pPr>
                    <a:defRPr sz="1000" b="1" strike="noStrike" spc="-1">
                      <a:solidFill>
                        <a:srgbClr val="000000"/>
                      </a:solidFill>
                      <a:latin typeface="Times New Roman"/>
                    </a:defRPr>
                  </a:pPr>
                  <a:endParaRPr lang="sr-Latn-RS"/>
                </a:p>
              </c:txPr>
              <c:dLblPos val="inEnd"/>
              <c:showLegendKey val="0"/>
              <c:showVal val="0"/>
              <c:showCatName val="0"/>
              <c:showSerName val="0"/>
              <c:showPercent val="1"/>
              <c:showBubbleSize val="1"/>
              <c:extLst>
                <c:ext xmlns:c15="http://schemas.microsoft.com/office/drawing/2012/chart" uri="{CE6537A1-D6FC-4f65-9D91-7224C49458BB}"/>
                <c:ext xmlns:c16="http://schemas.microsoft.com/office/drawing/2014/chart" uri="{C3380CC4-5D6E-409C-BE32-E72D297353CC}">
                  <c16:uniqueId val="{00000007-1F71-4833-9A2F-6C4E8F78FF2B}"/>
                </c:ext>
              </c:extLst>
            </c:dLbl>
            <c:dLbl>
              <c:idx val="4"/>
              <c:spPr/>
              <c:txPr>
                <a:bodyPr wrap="square"/>
                <a:lstStyle/>
                <a:p>
                  <a:pPr>
                    <a:defRPr sz="1000" b="1" strike="noStrike" spc="-1">
                      <a:solidFill>
                        <a:srgbClr val="000000"/>
                      </a:solidFill>
                      <a:latin typeface="Times New Roman"/>
                    </a:defRPr>
                  </a:pPr>
                  <a:endParaRPr lang="sr-Latn-RS"/>
                </a:p>
              </c:txPr>
              <c:dLblPos val="inEnd"/>
              <c:showLegendKey val="0"/>
              <c:showVal val="0"/>
              <c:showCatName val="0"/>
              <c:showSerName val="0"/>
              <c:showPercent val="1"/>
              <c:showBubbleSize val="1"/>
              <c:extLst>
                <c:ext xmlns:c15="http://schemas.microsoft.com/office/drawing/2012/chart" uri="{CE6537A1-D6FC-4f65-9D91-7224C49458BB}"/>
                <c:ext xmlns:c16="http://schemas.microsoft.com/office/drawing/2014/chart" uri="{C3380CC4-5D6E-409C-BE32-E72D297353CC}">
                  <c16:uniqueId val="{00000009-1F71-4833-9A2F-6C4E8F78FF2B}"/>
                </c:ext>
              </c:extLst>
            </c:dLbl>
            <c:spPr>
              <a:noFill/>
              <a:ln>
                <a:noFill/>
              </a:ln>
              <a:effectLst/>
            </c:spPr>
            <c:txPr>
              <a:bodyPr wrap="square"/>
              <a:lstStyle/>
              <a:p>
                <a:pPr>
                  <a:defRPr sz="1000" b="1" strike="noStrike" spc="-1">
                    <a:solidFill>
                      <a:srgbClr val="000000"/>
                    </a:solidFill>
                    <a:latin typeface="Times New Roman"/>
                  </a:defRPr>
                </a:pPr>
                <a:endParaRPr lang="sr-Latn-RS"/>
              </a:p>
            </c:txPr>
            <c:dLblPos val="inEnd"/>
            <c:showLegendKey val="0"/>
            <c:showVal val="0"/>
            <c:showCatName val="0"/>
            <c:showSerName val="0"/>
            <c:showPercent val="1"/>
            <c:showBubbleSize val="1"/>
            <c:separator>
</c:separator>
            <c:showLeaderLines val="0"/>
            <c:extLst>
              <c:ext xmlns:c15="http://schemas.microsoft.com/office/drawing/2012/chart" uri="{CE6537A1-D6FC-4f65-9D91-7224C49458BB}"/>
            </c:extLst>
          </c:dLbls>
          <c:cat>
            <c:strRef>
              <c:f>categories</c:f>
              <c:strCache>
                <c:ptCount val="5"/>
                <c:pt idx="0">
                  <c:v>I класа</c:v>
                </c:pt>
                <c:pt idx="1">
                  <c:v>II класа</c:v>
                </c:pt>
                <c:pt idx="2">
                  <c:v>III класа</c:v>
                </c:pt>
                <c:pt idx="3">
                  <c:v>IV класа</c:v>
                </c:pt>
                <c:pt idx="4">
                  <c:v>V класа</c:v>
                </c:pt>
              </c:strCache>
            </c:strRef>
          </c:cat>
          <c:val>
            <c:numRef>
              <c:f>0</c:f>
              <c:numCache>
                <c:formatCode>General</c:formatCode>
                <c:ptCount val="5"/>
                <c:pt idx="0">
                  <c:v>1957.7736</c:v>
                </c:pt>
                <c:pt idx="1">
                  <c:v>1876.0882999999999</c:v>
                </c:pt>
                <c:pt idx="2">
                  <c:v>871.63419999999996</c:v>
                </c:pt>
                <c:pt idx="3">
                  <c:v>390.5557</c:v>
                </c:pt>
                <c:pt idx="4">
                  <c:v>96.409499999999994</c:v>
                </c:pt>
              </c:numCache>
            </c:numRef>
          </c:val>
          <c:extLst>
            <c:ext xmlns:c16="http://schemas.microsoft.com/office/drawing/2014/chart" uri="{C3380CC4-5D6E-409C-BE32-E72D297353CC}">
              <c16:uniqueId val="{0000000A-1F71-4833-9A2F-6C4E8F78FF2B}"/>
            </c:ext>
          </c:extLst>
        </c:ser>
        <c:dLbls>
          <c:showLegendKey val="0"/>
          <c:showVal val="0"/>
          <c:showCatName val="0"/>
          <c:showSerName val="0"/>
          <c:showPercent val="0"/>
          <c:showBubbleSize val="0"/>
          <c:showLeaderLines val="0"/>
        </c:dLbls>
        <c:firstSliceAng val="0"/>
      </c:pieChart>
      <c:spPr>
        <a:noFill/>
        <a:ln w="0">
          <a:noFill/>
        </a:ln>
      </c:spPr>
    </c:plotArea>
    <c:legend>
      <c:legendPos val="r"/>
      <c:overlay val="0"/>
      <c:spPr>
        <a:noFill/>
        <a:ln w="0">
          <a:noFill/>
        </a:ln>
      </c:spPr>
      <c:txPr>
        <a:bodyPr/>
        <a:lstStyle/>
        <a:p>
          <a:pPr>
            <a:defRPr sz="900" b="0" strike="noStrike" spc="-1">
              <a:solidFill>
                <a:srgbClr val="000000"/>
              </a:solidFill>
              <a:latin typeface="Times New Roman"/>
            </a:defRPr>
          </a:pPr>
          <a:endParaRPr lang="sr-Latn-RS"/>
        </a:p>
      </c:txPr>
    </c:legend>
    <c:plotVisOnly val="1"/>
    <c:dispBlanksAs val="zero"/>
    <c:showDLblsOverMax val="1"/>
  </c:chart>
  <c:spPr>
    <a:solidFill>
      <a:srgbClr val="FFFFFF"/>
    </a:solidFill>
    <a:ln w="9360">
      <a:solidFill>
        <a:srgbClr val="000000"/>
      </a:solidFill>
      <a:round/>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autoTitleDeleted val="1"/>
    <c:plotArea>
      <c:layout/>
      <c:doughnutChart>
        <c:varyColors val="1"/>
        <c:ser>
          <c:idx val="0"/>
          <c:order val="0"/>
          <c:tx>
            <c:strRef>
              <c:f>label 0</c:f>
              <c:strCache>
                <c:ptCount val="1"/>
                <c:pt idx="0">
                  <c:v>Series1</c:v>
                </c:pt>
              </c:strCache>
            </c:strRef>
          </c:tx>
          <c:spPr>
            <a:solidFill>
              <a:srgbClr val="9BBB59"/>
            </a:solidFill>
            <a:ln w="0">
              <a:noFill/>
            </a:ln>
          </c:spPr>
          <c:dPt>
            <c:idx val="0"/>
            <c:bubble3D val="0"/>
            <c:spPr>
              <a:solidFill>
                <a:srgbClr val="809B49"/>
              </a:solidFill>
              <a:ln w="0">
                <a:noFill/>
              </a:ln>
            </c:spPr>
            <c:extLst>
              <c:ext xmlns:c16="http://schemas.microsoft.com/office/drawing/2014/chart" uri="{C3380CC4-5D6E-409C-BE32-E72D297353CC}">
                <c16:uniqueId val="{00000001-FA15-4078-B74B-89B337DF3656}"/>
              </c:ext>
            </c:extLst>
          </c:dPt>
          <c:dPt>
            <c:idx val="1"/>
            <c:bubble3D val="0"/>
            <c:extLst>
              <c:ext xmlns:c16="http://schemas.microsoft.com/office/drawing/2014/chart" uri="{C3380CC4-5D6E-409C-BE32-E72D297353CC}">
                <c16:uniqueId val="{00000003-FA15-4078-B74B-89B337DF3656}"/>
              </c:ext>
            </c:extLst>
          </c:dPt>
          <c:dPt>
            <c:idx val="2"/>
            <c:bubble3D val="0"/>
            <c:spPr>
              <a:solidFill>
                <a:srgbClr val="C5D6AC"/>
              </a:solidFill>
              <a:ln w="0">
                <a:noFill/>
              </a:ln>
            </c:spPr>
            <c:extLst>
              <c:ext xmlns:c16="http://schemas.microsoft.com/office/drawing/2014/chart" uri="{C3380CC4-5D6E-409C-BE32-E72D297353CC}">
                <c16:uniqueId val="{00000005-FA15-4078-B74B-89B337DF3656}"/>
              </c:ext>
            </c:extLst>
          </c:dPt>
          <c:dLbls>
            <c:dLbl>
              <c:idx val="0"/>
              <c:tx>
                <c:rich>
                  <a:bodyPr/>
                  <a:lstStyle/>
                  <a:p>
                    <a:r>
                      <a:rPr lang="en-US" sz="1000" b="0" strike="noStrike" spc="-1">
                        <a:solidFill>
                          <a:srgbClr val="000000"/>
                        </a:solidFill>
                        <a:latin typeface="Calibri"/>
                      </a:rPr>
                      <a:t>823 xa</a:t>
                    </a:r>
                  </a:p>
                </c:rich>
              </c:tx>
              <c:numFmt formatCode="General" sourceLinked="0"/>
              <c:spPr/>
              <c:showLegendKey val="0"/>
              <c:showVal val="1"/>
              <c:showCatName val="0"/>
              <c:showSerName val="0"/>
              <c:showPercent val="0"/>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1-FA15-4078-B74B-89B337DF3656}"/>
                </c:ext>
              </c:extLst>
            </c:dLbl>
            <c:dLbl>
              <c:idx val="1"/>
              <c:tx>
                <c:rich>
                  <a:bodyPr/>
                  <a:lstStyle/>
                  <a:p>
                    <a:r>
                      <a:rPr lang="en-US" sz="1000" b="0" strike="noStrike" spc="-1">
                        <a:solidFill>
                          <a:srgbClr val="000000"/>
                        </a:solidFill>
                        <a:latin typeface="Calibri"/>
                      </a:rPr>
                      <a:t>80 xa</a:t>
                    </a:r>
                  </a:p>
                </c:rich>
              </c:tx>
              <c:numFmt formatCode="General" sourceLinked="0"/>
              <c:spPr/>
              <c:showLegendKey val="0"/>
              <c:showVal val="1"/>
              <c:showCatName val="0"/>
              <c:showSerName val="0"/>
              <c:showPercent val="0"/>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3-FA15-4078-B74B-89B337DF3656}"/>
                </c:ext>
              </c:extLst>
            </c:dLbl>
            <c:dLbl>
              <c:idx val="2"/>
              <c:tx>
                <c:rich>
                  <a:bodyPr/>
                  <a:lstStyle/>
                  <a:p>
                    <a:r>
                      <a:rPr lang="en-US" sz="1000" b="0" strike="noStrike" spc="-1">
                        <a:solidFill>
                          <a:srgbClr val="000000"/>
                        </a:solidFill>
                        <a:latin typeface="Calibri"/>
                      </a:rPr>
                      <a:t>2 xa</a:t>
                    </a:r>
                  </a:p>
                </c:rich>
              </c:tx>
              <c:numFmt formatCode="General" sourceLinked="0"/>
              <c:spPr/>
              <c:showLegendKey val="0"/>
              <c:showVal val="1"/>
              <c:showCatName val="0"/>
              <c:showSerName val="0"/>
              <c:showPercent val="0"/>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5-FA15-4078-B74B-89B337DF3656}"/>
                </c:ext>
              </c:extLst>
            </c:dLbl>
            <c:numFmt formatCode="General" sourceLinked="0"/>
            <c:spPr>
              <a:noFill/>
              <a:ln>
                <a:noFill/>
              </a:ln>
              <a:effectLst/>
            </c:spPr>
            <c:txPr>
              <a:bodyPr wrap="square"/>
              <a:lstStyle/>
              <a:p>
                <a:pPr>
                  <a:defRPr sz="1050" b="0" strike="noStrike" spc="-1">
                    <a:solidFill>
                      <a:srgbClr val="000000"/>
                    </a:solidFill>
                    <a:latin typeface="Calibri"/>
                  </a:defRPr>
                </a:pPr>
                <a:endParaRPr lang="sr-Latn-RS"/>
              </a:p>
            </c:txPr>
            <c:showLegendKey val="0"/>
            <c:showVal val="1"/>
            <c:showCatName val="0"/>
            <c:showSerName val="0"/>
            <c:showPercent val="0"/>
            <c:showBubbleSize val="1"/>
            <c:separator>; </c:separator>
            <c:showLeaderLines val="0"/>
            <c:extLst>
              <c:ext xmlns:c15="http://schemas.microsoft.com/office/drawing/2012/chart" uri="{CE6537A1-D6FC-4f65-9D91-7224C49458BB}"/>
            </c:extLst>
          </c:dLbls>
          <c:cat>
            <c:strRef>
              <c:f>categories</c:f>
              <c:strCache>
                <c:ptCount val="3"/>
                <c:pt idx="0">
                  <c:v>Производња поврћа на отвореном, за индустријску прераду</c:v>
                </c:pt>
                <c:pt idx="1">
                  <c:v>Производња поврћа на отвореном, за потрошњу у свежем стању</c:v>
                </c:pt>
                <c:pt idx="2">
                  <c:v>Производња поврћа у стакленицима и пластеницима</c:v>
                </c:pt>
              </c:strCache>
            </c:strRef>
          </c:cat>
          <c:val>
            <c:numRef>
              <c:f>0</c:f>
              <c:numCache>
                <c:formatCode>General</c:formatCode>
                <c:ptCount val="3"/>
                <c:pt idx="0">
                  <c:v>823</c:v>
                </c:pt>
                <c:pt idx="1">
                  <c:v>80</c:v>
                </c:pt>
                <c:pt idx="2">
                  <c:v>2</c:v>
                </c:pt>
              </c:numCache>
            </c:numRef>
          </c:val>
          <c:extLst>
            <c:ext xmlns:c16="http://schemas.microsoft.com/office/drawing/2014/chart" uri="{C3380CC4-5D6E-409C-BE32-E72D297353CC}">
              <c16:uniqueId val="{00000006-FA15-4078-B74B-89B337DF3656}"/>
            </c:ext>
          </c:extLst>
        </c:ser>
        <c:dLbls>
          <c:showLegendKey val="0"/>
          <c:showVal val="0"/>
          <c:showCatName val="0"/>
          <c:showSerName val="0"/>
          <c:showPercent val="0"/>
          <c:showBubbleSize val="0"/>
          <c:showLeaderLines val="0"/>
        </c:dLbls>
        <c:firstSliceAng val="0"/>
        <c:holeSize val="50"/>
      </c:doughnutChart>
      <c:spPr>
        <a:solidFill>
          <a:srgbClr val="FFFFFF"/>
        </a:solidFill>
        <a:ln w="0">
          <a:noFill/>
        </a:ln>
      </c:spPr>
    </c:plotArea>
    <c:legend>
      <c:legendPos val="r"/>
      <c:layout>
        <c:manualLayout>
          <c:xMode val="edge"/>
          <c:yMode val="edge"/>
          <c:x val="0.5653125"/>
          <c:y val="0.14655555555555599"/>
          <c:w val="0.41796362272642001"/>
          <c:h val="0.64207134126013998"/>
        </c:manualLayout>
      </c:layout>
      <c:overlay val="0"/>
      <c:spPr>
        <a:noFill/>
        <a:ln w="0">
          <a:noFill/>
        </a:ln>
      </c:spPr>
      <c:txPr>
        <a:bodyPr/>
        <a:lstStyle/>
        <a:p>
          <a:pPr>
            <a:defRPr sz="1050" b="0" strike="noStrike" spc="-1">
              <a:solidFill>
                <a:srgbClr val="000000"/>
              </a:solidFill>
              <a:latin typeface="Times New Roman"/>
            </a:defRPr>
          </a:pPr>
          <a:endParaRPr lang="sr-Latn-RS"/>
        </a:p>
      </c:txPr>
    </c:legend>
    <c:plotVisOnly val="1"/>
    <c:dispBlanksAs val="gap"/>
    <c:showDLblsOverMax val="1"/>
  </c:chart>
  <c:spPr>
    <a:solidFill>
      <a:srgbClr val="FFFFFF"/>
    </a:solidFill>
    <a:ln w="9360">
      <a:solidFill>
        <a:srgbClr val="D9D9D9"/>
      </a:solidFill>
      <a:round/>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autoTitleDeleted val="1"/>
    <c:view3D>
      <c:rotX val="15"/>
      <c:rotY val="20"/>
      <c:rAngAx val="1"/>
    </c:view3D>
    <c:floor>
      <c:thickness val="0"/>
      <c:spPr>
        <a:noFill/>
        <a:ln w="9360">
          <a:solidFill>
            <a:srgbClr val="878787"/>
          </a:solidFill>
          <a:round/>
        </a:ln>
      </c:spPr>
    </c:floor>
    <c:sideWall>
      <c:thickness val="0"/>
      <c:spPr>
        <a:noFill/>
        <a:ln w="9360">
          <a:solidFill>
            <a:srgbClr val="878787"/>
          </a:solidFill>
          <a:round/>
        </a:ln>
      </c:spPr>
    </c:sideWall>
    <c:backWall>
      <c:thickness val="0"/>
      <c:spPr>
        <a:noFill/>
        <a:ln w="9360">
          <a:solidFill>
            <a:srgbClr val="878787"/>
          </a:solidFill>
          <a:round/>
        </a:ln>
      </c:spPr>
    </c:backWall>
    <c:plotArea>
      <c:layout>
        <c:manualLayout>
          <c:layoutTarget val="inner"/>
          <c:xMode val="edge"/>
          <c:yMode val="edge"/>
          <c:x val="0.17899999999999999"/>
          <c:y val="5.08888888888889E-2"/>
          <c:w val="0.77637500000000004"/>
          <c:h val="0.75700000000000001"/>
        </c:manualLayout>
      </c:layout>
      <c:bar3DChart>
        <c:barDir val="bar"/>
        <c:grouping val="clustered"/>
        <c:varyColors val="0"/>
        <c:ser>
          <c:idx val="0"/>
          <c:order val="0"/>
          <c:tx>
            <c:strRef>
              <c:f>label 0</c:f>
              <c:strCache>
                <c:ptCount val="1"/>
                <c:pt idx="0">
                  <c:v>Series1</c:v>
                </c:pt>
              </c:strCache>
            </c:strRef>
          </c:tx>
          <c:spPr>
            <a:solidFill>
              <a:srgbClr val="953735"/>
            </a:solidFill>
            <a:ln w="0">
              <a:noFill/>
            </a:ln>
          </c:spPr>
          <c:invertIfNegative val="0"/>
          <c:dLbls>
            <c:spPr>
              <a:noFill/>
              <a:ln>
                <a:noFill/>
              </a:ln>
              <a:effectLst/>
            </c:spPr>
            <c:txPr>
              <a:bodyPr wrap="none"/>
              <a:lstStyle/>
              <a:p>
                <a:pPr>
                  <a:defRPr sz="1000" b="0" strike="noStrike" spc="-1">
                    <a:solidFill>
                      <a:srgbClr val="000000"/>
                    </a:solidFill>
                    <a:latin typeface="Calibri"/>
                  </a:defRPr>
                </a:pPr>
                <a:endParaRPr lang="sr-Latn-RS"/>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5"/>
                <c:pt idx="0">
                  <c:v>Шљива</c:v>
                </c:pt>
                <c:pt idx="1">
                  <c:v>Јабука</c:v>
                </c:pt>
                <c:pt idx="2">
                  <c:v>Малина</c:v>
                </c:pt>
                <c:pt idx="3">
                  <c:v>Лешник</c:v>
                </c:pt>
                <c:pt idx="4">
                  <c:v>Вишња</c:v>
                </c:pt>
              </c:strCache>
            </c:strRef>
          </c:cat>
          <c:val>
            <c:numRef>
              <c:f>0</c:f>
              <c:numCache>
                <c:formatCode>General</c:formatCode>
                <c:ptCount val="5"/>
                <c:pt idx="0">
                  <c:v>25</c:v>
                </c:pt>
                <c:pt idx="1">
                  <c:v>33</c:v>
                </c:pt>
                <c:pt idx="2">
                  <c:v>59</c:v>
                </c:pt>
                <c:pt idx="3">
                  <c:v>86</c:v>
                </c:pt>
                <c:pt idx="4">
                  <c:v>89</c:v>
                </c:pt>
              </c:numCache>
            </c:numRef>
          </c:val>
          <c:extLst>
            <c:ext xmlns:c16="http://schemas.microsoft.com/office/drawing/2014/chart" uri="{C3380CC4-5D6E-409C-BE32-E72D297353CC}">
              <c16:uniqueId val="{00000000-CE46-4360-BD6D-F6197D9ACC96}"/>
            </c:ext>
          </c:extLst>
        </c:ser>
        <c:dLbls>
          <c:showLegendKey val="0"/>
          <c:showVal val="0"/>
          <c:showCatName val="0"/>
          <c:showSerName val="0"/>
          <c:showPercent val="0"/>
          <c:showBubbleSize val="0"/>
        </c:dLbls>
        <c:gapWidth val="150"/>
        <c:shape val="cylinder"/>
        <c:axId val="83015066"/>
        <c:axId val="99220931"/>
        <c:axId val="0"/>
      </c:bar3DChart>
      <c:catAx>
        <c:axId val="83015066"/>
        <c:scaling>
          <c:orientation val="minMax"/>
        </c:scaling>
        <c:delete val="0"/>
        <c:axPos val="l"/>
        <c:numFmt formatCode="General" sourceLinked="0"/>
        <c:majorTickMark val="out"/>
        <c:minorTickMark val="none"/>
        <c:tickLblPos val="nextTo"/>
        <c:spPr>
          <a:ln w="9360">
            <a:solidFill>
              <a:srgbClr val="878787"/>
            </a:solidFill>
            <a:round/>
          </a:ln>
        </c:spPr>
        <c:txPr>
          <a:bodyPr/>
          <a:lstStyle/>
          <a:p>
            <a:pPr>
              <a:defRPr lang="en-US" sz="1000" b="0" strike="noStrike" spc="-1">
                <a:solidFill>
                  <a:srgbClr val="000000"/>
                </a:solidFill>
                <a:latin typeface="Times New Roman"/>
              </a:defRPr>
            </a:pPr>
            <a:endParaRPr lang="sr-Latn-RS"/>
          </a:p>
        </c:txPr>
        <c:crossAx val="99220931"/>
        <c:crosses val="autoZero"/>
        <c:auto val="1"/>
        <c:lblAlgn val="ctr"/>
        <c:lblOffset val="100"/>
        <c:noMultiLvlLbl val="0"/>
      </c:catAx>
      <c:valAx>
        <c:axId val="99220931"/>
        <c:scaling>
          <c:orientation val="minMax"/>
        </c:scaling>
        <c:delete val="0"/>
        <c:axPos val="b"/>
        <c:majorGridlines>
          <c:spPr>
            <a:ln w="9360">
              <a:solidFill>
                <a:srgbClr val="878787"/>
              </a:solidFill>
              <a:round/>
            </a:ln>
          </c:spPr>
        </c:majorGridlines>
        <c:numFmt formatCode="General" sourceLinked="0"/>
        <c:majorTickMark val="out"/>
        <c:minorTickMark val="none"/>
        <c:tickLblPos val="nextTo"/>
        <c:spPr>
          <a:ln w="9360">
            <a:solidFill>
              <a:srgbClr val="878787"/>
            </a:solidFill>
            <a:round/>
          </a:ln>
        </c:spPr>
        <c:txPr>
          <a:bodyPr/>
          <a:lstStyle/>
          <a:p>
            <a:pPr>
              <a:defRPr lang="en-US" sz="1000" b="0" strike="noStrike" spc="-1">
                <a:solidFill>
                  <a:srgbClr val="000000"/>
                </a:solidFill>
                <a:latin typeface="Times New Roman"/>
              </a:defRPr>
            </a:pPr>
            <a:endParaRPr lang="sr-Latn-RS"/>
          </a:p>
        </c:txPr>
        <c:crossAx val="83015066"/>
        <c:crosses val="autoZero"/>
        <c:crossBetween val="between"/>
      </c:valAx>
    </c:plotArea>
    <c:plotVisOnly val="1"/>
    <c:dispBlanksAs val="gap"/>
    <c:showDLblsOverMax val="1"/>
  </c:chart>
  <c:spPr>
    <a:solidFill>
      <a:srgbClr val="FFFFFF"/>
    </a:solidFill>
    <a:ln w="9360">
      <a:solidFill>
        <a:srgbClr val="D9D9D9"/>
      </a:solidFill>
      <a:round/>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autoTitleDeleted val="1"/>
    <c:plotArea>
      <c:layout>
        <c:manualLayout>
          <c:layoutTarget val="inner"/>
          <c:xMode val="edge"/>
          <c:yMode val="edge"/>
          <c:x val="0.15531249999999999"/>
          <c:y val="0.10644444444444399"/>
          <c:w val="0.78931249999999997"/>
          <c:h val="0.72155555555555495"/>
        </c:manualLayout>
      </c:layout>
      <c:barChart>
        <c:barDir val="bar"/>
        <c:grouping val="clustered"/>
        <c:varyColors val="0"/>
        <c:ser>
          <c:idx val="0"/>
          <c:order val="0"/>
          <c:tx>
            <c:strRef>
              <c:f>label 0</c:f>
              <c:strCache>
                <c:ptCount val="1"/>
                <c:pt idx="0">
                  <c:v>%</c:v>
                </c:pt>
              </c:strCache>
            </c:strRef>
          </c:tx>
          <c:spPr>
            <a:solidFill>
              <a:srgbClr val="4F81BD"/>
            </a:solidFill>
            <a:ln w="0">
              <a:noFill/>
            </a:ln>
          </c:spPr>
          <c:invertIfNegative val="0"/>
          <c:dLbls>
            <c:spPr>
              <a:noFill/>
              <a:ln>
                <a:noFill/>
              </a:ln>
              <a:effectLst/>
            </c:spPr>
            <c:txPr>
              <a:bodyPr wrap="none"/>
              <a:lstStyle/>
              <a:p>
                <a:pPr>
                  <a:defRPr sz="1000" b="0" strike="noStrike" spc="-1">
                    <a:solidFill>
                      <a:srgbClr val="000000"/>
                    </a:solidFill>
                    <a:latin typeface="Calibri"/>
                  </a:defRPr>
                </a:pPr>
                <a:endParaRPr lang="sr-Latn-RS"/>
              </a:p>
            </c:txPr>
            <c:dLblPos val="outEnd"/>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8"/>
                <c:pt idx="0">
                  <c:v>Говеда</c:v>
                </c:pt>
                <c:pt idx="1">
                  <c:v>Свиње</c:v>
                </c:pt>
                <c:pt idx="2">
                  <c:v>Овце</c:v>
                </c:pt>
                <c:pt idx="3">
                  <c:v>Козе</c:v>
                </c:pt>
                <c:pt idx="4">
                  <c:v>Коњи</c:v>
                </c:pt>
                <c:pt idx="5">
                  <c:v>Магарци</c:v>
                </c:pt>
                <c:pt idx="6">
                  <c:v>Живина</c:v>
                </c:pt>
                <c:pt idx="7">
                  <c:v>Кунићи</c:v>
                </c:pt>
              </c:strCache>
            </c:strRef>
          </c:cat>
          <c:val>
            <c:numRef>
              <c:f>0</c:f>
              <c:numCache>
                <c:formatCode>General</c:formatCode>
                <c:ptCount val="8"/>
                <c:pt idx="0">
                  <c:v>16</c:v>
                </c:pt>
                <c:pt idx="1">
                  <c:v>63.9</c:v>
                </c:pt>
                <c:pt idx="2">
                  <c:v>9.1999999999999993</c:v>
                </c:pt>
                <c:pt idx="3">
                  <c:v>14.5</c:v>
                </c:pt>
                <c:pt idx="4">
                  <c:v>1.4</c:v>
                </c:pt>
                <c:pt idx="5">
                  <c:v>0.4</c:v>
                </c:pt>
                <c:pt idx="6">
                  <c:v>67.7</c:v>
                </c:pt>
                <c:pt idx="7">
                  <c:v>14.3</c:v>
                </c:pt>
              </c:numCache>
            </c:numRef>
          </c:val>
          <c:extLst>
            <c:ext xmlns:c16="http://schemas.microsoft.com/office/drawing/2014/chart" uri="{C3380CC4-5D6E-409C-BE32-E72D297353CC}">
              <c16:uniqueId val="{00000000-224E-4D9D-ABBD-DEA194B0DF70}"/>
            </c:ext>
          </c:extLst>
        </c:ser>
        <c:dLbls>
          <c:showLegendKey val="0"/>
          <c:showVal val="0"/>
          <c:showCatName val="0"/>
          <c:showSerName val="0"/>
          <c:showPercent val="0"/>
          <c:showBubbleSize val="0"/>
        </c:dLbls>
        <c:gapWidth val="182"/>
        <c:axId val="35179310"/>
        <c:axId val="95395019"/>
      </c:barChart>
      <c:catAx>
        <c:axId val="35179310"/>
        <c:scaling>
          <c:orientation val="minMax"/>
        </c:scaling>
        <c:delete val="0"/>
        <c:axPos val="l"/>
        <c:numFmt formatCode="General" sourceLinked="0"/>
        <c:majorTickMark val="none"/>
        <c:minorTickMark val="none"/>
        <c:tickLblPos val="nextTo"/>
        <c:spPr>
          <a:ln w="9360">
            <a:solidFill>
              <a:srgbClr val="D9D9D9"/>
            </a:solidFill>
            <a:round/>
          </a:ln>
        </c:spPr>
        <c:txPr>
          <a:bodyPr/>
          <a:lstStyle/>
          <a:p>
            <a:pPr>
              <a:defRPr sz="1050" b="0" strike="noStrike" spc="-1">
                <a:solidFill>
                  <a:srgbClr val="000000"/>
                </a:solidFill>
                <a:latin typeface="Times New Roman"/>
              </a:defRPr>
            </a:pPr>
            <a:endParaRPr lang="sr-Latn-RS"/>
          </a:p>
        </c:txPr>
        <c:crossAx val="95395019"/>
        <c:crosses val="autoZero"/>
        <c:auto val="1"/>
        <c:lblAlgn val="ctr"/>
        <c:lblOffset val="100"/>
        <c:noMultiLvlLbl val="0"/>
      </c:catAx>
      <c:valAx>
        <c:axId val="95395019"/>
        <c:scaling>
          <c:orientation val="minMax"/>
        </c:scaling>
        <c:delete val="0"/>
        <c:axPos val="b"/>
        <c:majorGridlines>
          <c:spPr>
            <a:ln w="9360">
              <a:solidFill>
                <a:srgbClr val="D9D9D9"/>
              </a:solidFill>
              <a:round/>
            </a:ln>
          </c:spPr>
        </c:majorGridlines>
        <c:numFmt formatCode="#.0000" sourceLinked="0"/>
        <c:majorTickMark val="none"/>
        <c:minorTickMark val="none"/>
        <c:tickLblPos val="nextTo"/>
        <c:spPr>
          <a:ln w="9360">
            <a:noFill/>
          </a:ln>
        </c:spPr>
        <c:txPr>
          <a:bodyPr/>
          <a:lstStyle/>
          <a:p>
            <a:pPr>
              <a:defRPr sz="900" b="0" strike="noStrike" spc="-1">
                <a:solidFill>
                  <a:srgbClr val="595959"/>
                </a:solidFill>
                <a:latin typeface="Calibri"/>
              </a:defRPr>
            </a:pPr>
            <a:endParaRPr lang="sr-Latn-RS"/>
          </a:p>
        </c:txPr>
        <c:crossAx val="35179310"/>
        <c:crosses val="autoZero"/>
        <c:crossBetween val="between"/>
      </c:valAx>
      <c:spPr>
        <a:noFill/>
        <a:ln w="0">
          <a:noFill/>
        </a:ln>
      </c:spPr>
    </c:plotArea>
    <c:plotVisOnly val="1"/>
    <c:dispBlanksAs val="gap"/>
    <c:showDLblsOverMax val="1"/>
  </c:chart>
  <c:spPr>
    <a:solidFill>
      <a:srgbClr val="FFFFFF"/>
    </a:solidFill>
    <a:ln w="9360">
      <a:solidFill>
        <a:srgbClr val="D9D9D9"/>
      </a:solidFill>
      <a:round/>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autoTitleDeleted val="1"/>
    <c:view3D>
      <c:rotX val="15"/>
      <c:rotY val="20"/>
      <c:rAngAx val="1"/>
    </c:view3D>
    <c:floor>
      <c:thickness val="0"/>
      <c:spPr>
        <a:noFill/>
        <a:ln w="9360">
          <a:noFill/>
        </a:ln>
      </c:spPr>
    </c:floor>
    <c:sideWall>
      <c:thickness val="0"/>
      <c:spPr>
        <a:noFill/>
        <a:ln w="9360">
          <a:noFill/>
        </a:ln>
      </c:spPr>
    </c:sideWall>
    <c:backWall>
      <c:thickness val="0"/>
      <c:spPr>
        <a:noFill/>
        <a:ln w="9360">
          <a:noFill/>
        </a:ln>
      </c:spPr>
    </c:backWall>
    <c:plotArea>
      <c:layout/>
      <c:bar3DChart>
        <c:barDir val="col"/>
        <c:grouping val="clustered"/>
        <c:varyColors val="0"/>
        <c:ser>
          <c:idx val="0"/>
          <c:order val="0"/>
          <c:tx>
            <c:strRef>
              <c:f>label 0</c:f>
              <c:strCache>
                <c:ptCount val="1"/>
                <c:pt idx="0">
                  <c:v>% газдинстава</c:v>
                </c:pt>
              </c:strCache>
            </c:strRef>
          </c:tx>
          <c:spPr>
            <a:solidFill>
              <a:srgbClr val="4F81BD"/>
            </a:solidFill>
            <a:ln w="0">
              <a:noFill/>
            </a:ln>
          </c:spPr>
          <c:invertIfNegative val="0"/>
          <c:dLbls>
            <c:spPr>
              <a:noFill/>
              <a:ln>
                <a:noFill/>
              </a:ln>
              <a:effectLst/>
            </c:spPr>
            <c:txPr>
              <a:bodyPr wrap="none"/>
              <a:lstStyle/>
              <a:p>
                <a:pPr>
                  <a:defRPr sz="1000" b="0" strike="noStrike" spc="-1">
                    <a:solidFill>
                      <a:srgbClr val="000000"/>
                    </a:solidFill>
                    <a:latin typeface="Calibri"/>
                  </a:defRPr>
                </a:pPr>
                <a:endParaRPr lang="sr-Latn-RS"/>
              </a:p>
            </c:txP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0"/>
                <c:pt idx="0">
                  <c:v>&lt; 0.5 ха</c:v>
                </c:pt>
                <c:pt idx="1">
                  <c:v>0.5&lt;= ха &lt;1</c:v>
                </c:pt>
                <c:pt idx="2">
                  <c:v>1&lt;=ха&lt;2</c:v>
                </c:pt>
                <c:pt idx="3">
                  <c:v>2&lt;=ха&lt;5</c:v>
                </c:pt>
                <c:pt idx="4">
                  <c:v>5&lt;=ха&lt;10</c:v>
                </c:pt>
                <c:pt idx="5">
                  <c:v>10&lt;=ха&lt;20</c:v>
                </c:pt>
                <c:pt idx="6">
                  <c:v>20&lt;=ха&lt;30</c:v>
                </c:pt>
                <c:pt idx="7">
                  <c:v>30&lt;=ха&lt;50</c:v>
                </c:pt>
                <c:pt idx="8">
                  <c:v>50&lt;=ха&lt;100</c:v>
                </c:pt>
                <c:pt idx="9">
                  <c:v>ха&gt;=100</c:v>
                </c:pt>
              </c:strCache>
            </c:strRef>
          </c:cat>
          <c:val>
            <c:numRef>
              <c:f>0</c:f>
              <c:numCache>
                <c:formatCode>General</c:formatCode>
                <c:ptCount val="10"/>
                <c:pt idx="0">
                  <c:v>13.6</c:v>
                </c:pt>
                <c:pt idx="1">
                  <c:v>13.6</c:v>
                </c:pt>
                <c:pt idx="2">
                  <c:v>20.2</c:v>
                </c:pt>
                <c:pt idx="3">
                  <c:v>21.2</c:v>
                </c:pt>
                <c:pt idx="4">
                  <c:v>14.7</c:v>
                </c:pt>
                <c:pt idx="5">
                  <c:v>9</c:v>
                </c:pt>
                <c:pt idx="6">
                  <c:v>3.4</c:v>
                </c:pt>
                <c:pt idx="7">
                  <c:v>2.5</c:v>
                </c:pt>
                <c:pt idx="8">
                  <c:v>1.6</c:v>
                </c:pt>
                <c:pt idx="9">
                  <c:v>0.2</c:v>
                </c:pt>
              </c:numCache>
            </c:numRef>
          </c:val>
          <c:extLst>
            <c:ext xmlns:c16="http://schemas.microsoft.com/office/drawing/2014/chart" uri="{C3380CC4-5D6E-409C-BE32-E72D297353CC}">
              <c16:uniqueId val="{00000000-B1DA-4621-82E0-036439AE7BF5}"/>
            </c:ext>
          </c:extLst>
        </c:ser>
        <c:dLbls>
          <c:showLegendKey val="0"/>
          <c:showVal val="0"/>
          <c:showCatName val="0"/>
          <c:showSerName val="0"/>
          <c:showPercent val="0"/>
          <c:showBubbleSize val="0"/>
        </c:dLbls>
        <c:gapWidth val="150"/>
        <c:shape val="box"/>
        <c:axId val="7268065"/>
        <c:axId val="30758615"/>
        <c:axId val="0"/>
      </c:bar3DChart>
      <c:catAx>
        <c:axId val="7268065"/>
        <c:scaling>
          <c:orientation val="minMax"/>
        </c:scaling>
        <c:delete val="0"/>
        <c:axPos val="b"/>
        <c:numFmt formatCode="General" sourceLinked="0"/>
        <c:majorTickMark val="none"/>
        <c:minorTickMark val="none"/>
        <c:tickLblPos val="nextTo"/>
        <c:spPr>
          <a:ln w="9360">
            <a:noFill/>
          </a:ln>
        </c:spPr>
        <c:txPr>
          <a:bodyPr/>
          <a:lstStyle/>
          <a:p>
            <a:pPr>
              <a:defRPr sz="900" b="0" strike="noStrike" spc="-1">
                <a:solidFill>
                  <a:srgbClr val="595959"/>
                </a:solidFill>
                <a:latin typeface="Calibri"/>
              </a:defRPr>
            </a:pPr>
            <a:endParaRPr lang="sr-Latn-RS"/>
          </a:p>
        </c:txPr>
        <c:crossAx val="30758615"/>
        <c:crosses val="autoZero"/>
        <c:auto val="1"/>
        <c:lblAlgn val="ctr"/>
        <c:lblOffset val="100"/>
        <c:noMultiLvlLbl val="0"/>
      </c:catAx>
      <c:valAx>
        <c:axId val="30758615"/>
        <c:scaling>
          <c:orientation val="minMax"/>
        </c:scaling>
        <c:delete val="0"/>
        <c:axPos val="l"/>
        <c:majorGridlines>
          <c:spPr>
            <a:ln w="9360">
              <a:solidFill>
                <a:srgbClr val="D9D9D9"/>
              </a:solidFill>
              <a:round/>
            </a:ln>
          </c:spPr>
        </c:majorGridlines>
        <c:numFmt formatCode="#.0000" sourceLinked="0"/>
        <c:majorTickMark val="none"/>
        <c:minorTickMark val="none"/>
        <c:tickLblPos val="nextTo"/>
        <c:spPr>
          <a:ln w="9360">
            <a:noFill/>
          </a:ln>
        </c:spPr>
        <c:txPr>
          <a:bodyPr/>
          <a:lstStyle/>
          <a:p>
            <a:pPr>
              <a:defRPr sz="900" b="0" strike="noStrike" spc="-1">
                <a:solidFill>
                  <a:srgbClr val="595959"/>
                </a:solidFill>
                <a:latin typeface="Calibri"/>
              </a:defRPr>
            </a:pPr>
            <a:endParaRPr lang="sr-Latn-RS"/>
          </a:p>
        </c:txPr>
        <c:crossAx val="7268065"/>
        <c:crosses val="autoZero"/>
        <c:crossBetween val="between"/>
      </c:valAx>
    </c:plotArea>
    <c:plotVisOnly val="1"/>
    <c:dispBlanksAs val="gap"/>
    <c:showDLblsOverMax val="1"/>
  </c:chart>
  <c:spPr>
    <a:solidFill>
      <a:srgbClr val="FFFFFF"/>
    </a:solidFill>
    <a:ln w="9360">
      <a:solidFill>
        <a:srgbClr val="D9D9D9"/>
      </a:solidFill>
      <a:round/>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iwownRh8jOOvOvJqAFaXqiEQodyg==">AMUW2mWiZhr9xXHHl8rnvF53MrI0yI5X3vSMio+aUFk5/heSanebzY2OUn7opI/RxwWb97/dsAbgAy68jxicMxndQOJxI+yASZN6LefKk/+bZHW1XaJ85xc=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26B08AC-0B28-44D2-B27E-2E3D9070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24</Pages>
  <Words>8346</Words>
  <Characters>47576</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dc:description/>
  <cp:lastModifiedBy>Jelena Petrov</cp:lastModifiedBy>
  <cp:revision>29</cp:revision>
  <dcterms:created xsi:type="dcterms:W3CDTF">2021-11-14T18:28:00Z</dcterms:created>
  <dcterms:modified xsi:type="dcterms:W3CDTF">2022-12-02T11:57:00Z</dcterms:modified>
  <dc:language>en-US</dc:language>
</cp:coreProperties>
</file>